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3A47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360" w:lineRule="auto"/>
        <w:ind w:left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lang w:val="en-US" w:eastAsia="zh-CN"/>
        </w:rPr>
        <w:t>国际胜任力人才培养计划</w:t>
      </w:r>
    </w:p>
    <w:p w14:paraId="5B12947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u w:val="single" w:color="auto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u w:val="single" w:color="auto"/>
          <w:shd w:val="clear" w:color="auto" w:fill="auto"/>
          <w:lang w:val="en-US" w:eastAsia="zh-CN"/>
        </w:rPr>
        <w:t xml:space="preserve"> 联合国训练研究所（日本）可持续发展（SDGs）项目</w:t>
      </w:r>
    </w:p>
    <w:p w14:paraId="7B8A1C3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36"/>
          <w:szCs w:val="36"/>
          <w:u w:val="single"/>
          <w:lang w:val="en-US" w:eastAsia="zh-CN"/>
        </w:rPr>
        <w:t>行程示例</w:t>
      </w:r>
    </w:p>
    <w:p w14:paraId="0CF01542">
      <w:pPr>
        <w:keepNext w:val="0"/>
        <w:keepLines w:val="0"/>
        <w:pageBreakBefore w:val="0"/>
        <w:widowControl w:val="0"/>
        <w:tabs>
          <w:tab w:val="left" w:pos="70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" w:beforeLines="10" w:after="32" w:afterLines="1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</w:p>
    <w:p w14:paraId="4EE2420D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leftChars="0" w:firstLine="240" w:firstLineChars="100"/>
        <w:jc w:val="left"/>
        <w:textAlignment w:val="auto"/>
        <w:rPr>
          <w:rFonts w:hint="default" w:ascii="微软雅黑" w:hAnsi="微软雅黑" w:eastAsia="微软雅黑" w:cs="微软雅黑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val="en-US" w:eastAsia="zh-CN"/>
        </w:rPr>
        <w:t>一、项目目的地简介</w:t>
      </w:r>
    </w:p>
    <w:p w14:paraId="7AD0030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280" w:leftChars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24"/>
          <w:szCs w:val="24"/>
          <w:lang w:val="en-US" w:eastAsia="zh-CN"/>
        </w:rPr>
        <w:t>广岛：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/>
        </w:rPr>
        <w:t>日本中部的一级行政区，四季气候温润，以其历史背景和现代都市风貌相结合；交通发达，汽车制造业在国际上享有盛誉，</w:t>
      </w:r>
      <w:r>
        <w:rPr>
          <w:rFonts w:hint="default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/>
        </w:rPr>
        <w:t>有马自达、三菱重工等代表性企业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/>
        </w:rPr>
        <w:t>；广岛有着深刻的和平理念，是著名的国际和平城市；周边自然风光优美，如日本首屈一指的著名景点宫岛。</w:t>
      </w:r>
    </w:p>
    <w:p w14:paraId="7CC58E0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280" w:leftChars="0" w:firstLine="0" w:firstLineChars="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24"/>
          <w:szCs w:val="24"/>
          <w:lang w:val="en-US" w:eastAsia="zh-CN"/>
        </w:rPr>
        <w:t>福冈：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/>
        </w:rPr>
        <w:t>日本九州地区最大的都市，许多政府机关及公司分社设于此地，和周边的地区共同组成了福冈都市圈。其地理位置优越，自古以来就位居日本的重要国际交流门户，以其悠久的历史、多元的文化和丰富的美食而闻名，特别是温泉资源和茶道文化。</w:t>
      </w:r>
    </w:p>
    <w:p w14:paraId="335CC0F5">
      <w:pPr>
        <w:keepNext w:val="0"/>
        <w:keepLines w:val="0"/>
        <w:pageBreakBefore w:val="0"/>
        <w:widowControl/>
        <w:numPr>
          <w:numId w:val="0"/>
        </w:numPr>
        <w:tabs>
          <w:tab w:val="center" w:pos="48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280" w:leftChars="0"/>
        <w:jc w:val="left"/>
        <w:textAlignment w:val="auto"/>
        <w:rPr>
          <w:rFonts w:hint="default" w:ascii="微软雅黑" w:hAnsi="微软雅黑" w:eastAsia="微软雅黑" w:cs="微软雅黑"/>
          <w:b w:val="0"/>
          <w:bCs/>
          <w:color w:val="auto"/>
          <w:kern w:val="0"/>
          <w:sz w:val="24"/>
          <w:szCs w:val="24"/>
          <w:lang w:val="en-US" w:eastAsia="zh-CN"/>
        </w:rPr>
      </w:pPr>
    </w:p>
    <w:p w14:paraId="092BE6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40" w:lineRule="auto"/>
        <w:ind w:leftChars="0" w:firstLine="240" w:firstLineChars="100"/>
        <w:jc w:val="left"/>
        <w:textAlignment w:val="auto"/>
        <w:rPr>
          <w:rFonts w:hint="default" w:ascii="微软雅黑" w:hAnsi="微软雅黑" w:eastAsia="微软雅黑" w:cs="微软雅黑"/>
          <w:b/>
          <w:bCs w:val="0"/>
          <w:color w:val="auto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kern w:val="0"/>
          <w:sz w:val="24"/>
          <w:szCs w:val="24"/>
          <w:lang w:val="en-US" w:eastAsia="zh-CN"/>
        </w:rPr>
        <w:t>二、行程示例</w:t>
      </w:r>
    </w:p>
    <w:tbl>
      <w:tblPr>
        <w:tblStyle w:val="6"/>
        <w:tblpPr w:leftFromText="180" w:rightFromText="180" w:vertAnchor="text" w:horzAnchor="page" w:tblpXSpec="center" w:tblpY="640"/>
        <w:tblOverlap w:val="never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6665"/>
        <w:gridCol w:w="1222"/>
      </w:tblGrid>
      <w:tr w14:paraId="2BA6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shd w:val="clear" w:color="auto" w:fill="D7D7D7" w:themeFill="background1" w:themeFillShade="D8"/>
            <w:vAlign w:val="center"/>
          </w:tcPr>
          <w:p w14:paraId="434EDDAC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日 期</w:t>
            </w:r>
          </w:p>
        </w:tc>
        <w:tc>
          <w:tcPr>
            <w:tcW w:w="6665" w:type="dxa"/>
            <w:shd w:val="clear" w:color="auto" w:fill="D7D7D7" w:themeFill="background1" w:themeFillShade="D8"/>
            <w:vAlign w:val="center"/>
          </w:tcPr>
          <w:p w14:paraId="62B1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参访/学习内容</w:t>
            </w:r>
          </w:p>
        </w:tc>
        <w:tc>
          <w:tcPr>
            <w:tcW w:w="1222" w:type="dxa"/>
            <w:shd w:val="clear" w:color="auto" w:fill="D7D7D7" w:themeFill="background1" w:themeFillShade="D8"/>
            <w:vAlign w:val="center"/>
          </w:tcPr>
          <w:p w14:paraId="25EF38FB">
            <w:pPr>
              <w:widowControl w:val="0"/>
              <w:spacing w:line="38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日 期</w:t>
            </w:r>
          </w:p>
        </w:tc>
      </w:tr>
      <w:tr w14:paraId="7B7F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623E0106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7A8D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抵达日本福冈，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统一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乘坐大巴前往广岛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8CAEC87">
            <w:pPr>
              <w:widowControl w:val="0"/>
              <w:spacing w:line="380" w:lineRule="exact"/>
              <w:jc w:val="center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  <w:t>广 岛</w:t>
            </w:r>
          </w:p>
        </w:tc>
      </w:tr>
      <w:tr w14:paraId="2661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1457" w:type="dxa"/>
            <w:vMerge w:val="restart"/>
            <w:shd w:val="clear" w:color="auto" w:fill="auto"/>
            <w:vAlign w:val="center"/>
          </w:tcPr>
          <w:p w14:paraId="363C360E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第二天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56925B9B">
            <w:pPr>
              <w:keepNext w:val="0"/>
              <w:keepLines w:val="0"/>
              <w:pageBreakBefore w:val="0"/>
              <w:widowControl w:val="0"/>
              <w:tabs>
                <w:tab w:val="left" w:pos="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欢迎仪式及项目小组课题发布</w:t>
            </w:r>
          </w:p>
          <w:p w14:paraId="490696B1">
            <w:pPr>
              <w:keepNext w:val="0"/>
              <w:keepLines w:val="0"/>
              <w:pageBreakBefore w:val="0"/>
              <w:widowControl w:val="0"/>
              <w:tabs>
                <w:tab w:val="left" w:pos="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课程主题（一）：关于广岛和S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DGs目标介绍</w:t>
            </w:r>
          </w:p>
          <w:p w14:paraId="4F72750B">
            <w:pPr>
              <w:keepNext w:val="0"/>
              <w:keepLines w:val="0"/>
              <w:pageBreakBefore w:val="0"/>
              <w:widowControl w:val="0"/>
              <w:tabs>
                <w:tab w:val="left" w:pos="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联合国训练研究所（UNITAR）的职能解析、该机构在广岛的实践经验及联合国组织驻广岛的战略意义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。</w:t>
            </w:r>
          </w:p>
          <w:p w14:paraId="1917E4E7">
            <w:pPr>
              <w:keepNext w:val="0"/>
              <w:keepLines w:val="0"/>
              <w:pageBreakBefore w:val="0"/>
              <w:widowControl w:val="0"/>
              <w:tabs>
                <w:tab w:val="left" w:pos="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课程主题（二）：领导力在推动可持续发展目标中的作用</w:t>
            </w:r>
          </w:p>
          <w:p w14:paraId="1958BF54">
            <w:pPr>
              <w:keepNext w:val="0"/>
              <w:keepLines w:val="0"/>
              <w:pageBreakBefore w:val="0"/>
              <w:widowControl w:val="0"/>
              <w:tabs>
                <w:tab w:val="left" w:pos="7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分享在阿富汗培育领导者的实践经验，运用迈克尔·福斯的领导力教材，展示参与者的成功案例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14:paraId="302BC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广 岛</w:t>
            </w:r>
          </w:p>
        </w:tc>
      </w:tr>
      <w:tr w14:paraId="445E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457" w:type="dxa"/>
            <w:vMerge w:val="continue"/>
            <w:shd w:val="clear" w:color="auto" w:fill="auto"/>
            <w:vAlign w:val="center"/>
          </w:tcPr>
          <w:p w14:paraId="5629F59A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5" w:type="dxa"/>
            <w:shd w:val="clear" w:color="auto" w:fill="auto"/>
            <w:vAlign w:val="center"/>
          </w:tcPr>
          <w:p w14:paraId="0007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小组活动（一）：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小组课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讨论及展演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准备</w:t>
            </w:r>
          </w:p>
          <w:p w14:paraId="7E33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专题讨论（一）：联合国职业发展介绍</w:t>
            </w:r>
          </w:p>
          <w:p w14:paraId="3C33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联合国职员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及顾问等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分享经验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互动问答环节</w:t>
            </w:r>
          </w:p>
          <w:p w14:paraId="4515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城市体验-行程结束后，自由安排</w:t>
            </w:r>
          </w:p>
        </w:tc>
        <w:tc>
          <w:tcPr>
            <w:tcW w:w="1222" w:type="dxa"/>
            <w:vMerge w:val="continue"/>
          </w:tcPr>
          <w:p w14:paraId="2388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3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5F51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457" w:type="dxa"/>
            <w:vMerge w:val="restart"/>
            <w:shd w:val="clear" w:color="auto" w:fill="auto"/>
            <w:vAlign w:val="center"/>
          </w:tcPr>
          <w:p w14:paraId="058CF00E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第三天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581F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课程主题（三）：可持续发展挑战与机遇中的领导力</w:t>
            </w:r>
          </w:p>
          <w:p w14:paraId="4578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借鉴FOIP项目、减灾项目、性别平等与妇女赋权项目的经验，结合项目案例及成功故事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。</w:t>
            </w:r>
          </w:p>
          <w:p w14:paraId="5837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课程主题（四）：实现可持续发展目标的伙伴关系</w:t>
            </w:r>
          </w:p>
          <w:p w14:paraId="0441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分享日本可持续旅游地方项目研究与实践经验，探讨基层伙伴关系及可持续发展目标在基层环境的成功实施路径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14:paraId="3E20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广 岛</w:t>
            </w:r>
          </w:p>
        </w:tc>
      </w:tr>
      <w:tr w14:paraId="7802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457" w:type="dxa"/>
            <w:vMerge w:val="continue"/>
            <w:shd w:val="clear" w:color="auto" w:fill="auto"/>
            <w:vAlign w:val="center"/>
          </w:tcPr>
          <w:p w14:paraId="0C30BDB9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5" w:type="dxa"/>
            <w:shd w:val="clear" w:color="auto" w:fill="auto"/>
            <w:vAlign w:val="center"/>
          </w:tcPr>
          <w:p w14:paraId="32DE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小组活动（二）：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小组课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讨论及展演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准备</w:t>
            </w:r>
          </w:p>
          <w:p w14:paraId="746C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专题讨论（二）：可持续发展目标实践</w:t>
            </w:r>
          </w:p>
          <w:p w14:paraId="65AE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" w:beforeLines="10" w:after="32" w:afterLines="1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城市体验-行程结束后，自由安排</w:t>
            </w:r>
          </w:p>
        </w:tc>
        <w:tc>
          <w:tcPr>
            <w:tcW w:w="1222" w:type="dxa"/>
            <w:vMerge w:val="continue"/>
          </w:tcPr>
          <w:p w14:paraId="03D2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36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 w14:paraId="415A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1DBC81D8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第四天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5F59B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人文实践：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</w:rPr>
              <w:t>体验城市发展的可持续性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游览宫岛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0602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广岛-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宫岛</w:t>
            </w:r>
          </w:p>
        </w:tc>
      </w:tr>
      <w:tr w14:paraId="4D7E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57" w:type="dxa"/>
            <w:vMerge w:val="restart"/>
            <w:shd w:val="clear" w:color="auto" w:fill="auto"/>
            <w:vAlign w:val="center"/>
          </w:tcPr>
          <w:p w14:paraId="6288D3C7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第五天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564E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小组活动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小组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课题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汇报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展演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42C3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广 岛</w:t>
            </w:r>
          </w:p>
        </w:tc>
      </w:tr>
      <w:tr w14:paraId="53B5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57" w:type="dxa"/>
            <w:vMerge w:val="continue"/>
            <w:shd w:val="clear" w:color="auto" w:fill="auto"/>
            <w:vAlign w:val="center"/>
          </w:tcPr>
          <w:p w14:paraId="1D42454F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5" w:type="dxa"/>
            <w:shd w:val="clear" w:color="auto" w:fill="auto"/>
            <w:vAlign w:val="center"/>
          </w:tcPr>
          <w:p w14:paraId="7586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结营仪式，颁发证书</w:t>
            </w:r>
          </w:p>
          <w:p w14:paraId="466C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统一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乘坐大巴前往福冈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FE3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福 冈</w:t>
            </w:r>
          </w:p>
        </w:tc>
      </w:tr>
      <w:tr w14:paraId="5330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3BACC8AF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第六天</w:t>
            </w:r>
          </w:p>
        </w:tc>
        <w:tc>
          <w:tcPr>
            <w:tcW w:w="6665" w:type="dxa"/>
            <w:shd w:val="clear" w:color="auto" w:fill="auto"/>
            <w:vAlign w:val="center"/>
          </w:tcPr>
          <w:p w14:paraId="334C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文化体验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日本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茶道或温泉文化体验</w:t>
            </w:r>
          </w:p>
          <w:p w14:paraId="5542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自由活动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2741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3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福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冈</w:t>
            </w:r>
          </w:p>
        </w:tc>
      </w:tr>
      <w:tr w14:paraId="0DEE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25625605">
            <w:pPr>
              <w:widowControl w:val="0"/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第七天</w:t>
            </w:r>
          </w:p>
        </w:tc>
        <w:tc>
          <w:tcPr>
            <w:tcW w:w="7887" w:type="dxa"/>
            <w:gridSpan w:val="2"/>
            <w:vAlign w:val="center"/>
          </w:tcPr>
          <w:p w14:paraId="11A3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6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返程回国</w:t>
            </w:r>
          </w:p>
        </w:tc>
      </w:tr>
      <w:tr w14:paraId="6357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344" w:type="dxa"/>
            <w:gridSpan w:val="3"/>
            <w:shd w:val="clear" w:color="auto" w:fill="auto"/>
            <w:vAlign w:val="center"/>
          </w:tcPr>
          <w:p w14:paraId="7AC5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注：如联合国训练研究所日本广岛办公室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因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工作安排或临时接待等特殊原因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，可能个别行程略有调整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，以出行前行程为准。</w:t>
            </w:r>
          </w:p>
        </w:tc>
      </w:tr>
    </w:tbl>
    <w:p w14:paraId="50183B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b/>
          <w:color w:val="588E32"/>
          <w:kern w:val="0"/>
          <w:sz w:val="24"/>
          <w:szCs w:val="24"/>
          <w:lang w:val="en-US" w:eastAsia="zh-CN"/>
        </w:rPr>
      </w:pPr>
    </w:p>
    <w:p w14:paraId="14EC7569">
      <w:pPr>
        <w:widowControl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</w:p>
    <w:p w14:paraId="055ADBC6">
      <w:pPr>
        <w:widowControl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</w:p>
    <w:p w14:paraId="794A5169">
      <w:pPr>
        <w:widowControl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</w:p>
    <w:p w14:paraId="67C29A9F">
      <w:pPr>
        <w:widowControl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</w:p>
    <w:p w14:paraId="7E2D0C64">
      <w:pPr>
        <w:widowControl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</w:p>
    <w:p w14:paraId="4A802241">
      <w:pPr>
        <w:widowControl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</w:p>
    <w:p w14:paraId="7FF0497F">
      <w:pPr>
        <w:widowControl/>
        <w:adjustRightInd/>
        <w:snapToGrid/>
        <w:spacing w:line="500" w:lineRule="exact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213" w:right="1123" w:bottom="1213" w:left="11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409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-14605</wp:posOffset>
              </wp:positionH>
              <wp:positionV relativeFrom="page">
                <wp:posOffset>10494010</wp:posOffset>
              </wp:positionV>
              <wp:extent cx="8083550" cy="193675"/>
              <wp:effectExtent l="0" t="0" r="8890" b="444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-5080" y="10496550"/>
                        <a:ext cx="808355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.15pt;margin-top:826.3pt;height:15.25pt;width:636.5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+S42a2QAAAA0BAAAPAAAAAAAAAAEAIAAAACIAAABkcnMvZG93bnJldi54bWxQSwECFAAUAAAA&#10;CACHTuJAamG2HF8CAACtBAAADgAAAAAAAAABACAAAAAoAQAAZHJzL2Uyb0RvYy54bWxQSwUGAAAA&#10;AAYABgBZAQAA+QUAAAAA&#10;">
              <v:fill on="f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B3C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B3C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EE0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-553085</wp:posOffset>
              </wp:positionV>
              <wp:extent cx="8114665" cy="415290"/>
              <wp:effectExtent l="0" t="0" r="8255" b="11430"/>
              <wp:wrapNone/>
              <wp:docPr id="13" name="矩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466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2" o:spid="_x0000_s1026" o:spt="1" style="position:absolute;left:0pt;margin-left:-79.5pt;margin-top:-43.55pt;height:32.7pt;width:638.95pt;z-index:251659264;v-text-anchor:middle;mso-width-relative:page;mso-height-relative:page;" filled="f" stroked="f" coordsize="21600,21600" o:gfxdata="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CI&#10;ZT3aAAAADQEAAA8AAAAAAAAAAQAgAAAAIgAAAGRycy9kb3ducmV2LnhtbFBLAQIUABQAAAAIAIdO&#10;4kA0x2FxWgIAAKQEAAAOAAAAAAAAAAEAIAAAACkBAABkcnMvZTJvRG9jLnhtbFBLBQYAAAAABgAG&#10;AFkBAAD1BQAAAAA=&#10;">
              <v:fill on="f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B1048"/>
    <w:multiLevelType w:val="singleLevel"/>
    <w:tmpl w:val="A1EB1048"/>
    <w:lvl w:ilvl="0" w:tentative="0">
      <w:start w:val="1"/>
      <w:numFmt w:val="decimal"/>
      <w:suff w:val="space"/>
      <w:lvlText w:val="%1."/>
      <w:lvlJc w:val="left"/>
      <w:pPr>
        <w:ind w:left="28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1ACD"/>
    <w:rsid w:val="0053276A"/>
    <w:rsid w:val="01D56F51"/>
    <w:rsid w:val="023B103A"/>
    <w:rsid w:val="02E12066"/>
    <w:rsid w:val="03A52548"/>
    <w:rsid w:val="03E27DEE"/>
    <w:rsid w:val="04BD7173"/>
    <w:rsid w:val="07C733D5"/>
    <w:rsid w:val="094B5940"/>
    <w:rsid w:val="09866978"/>
    <w:rsid w:val="0B280C5D"/>
    <w:rsid w:val="0B4E5BBB"/>
    <w:rsid w:val="0B645BE0"/>
    <w:rsid w:val="0B8253DD"/>
    <w:rsid w:val="0BED7182"/>
    <w:rsid w:val="0DC12675"/>
    <w:rsid w:val="0DF77967"/>
    <w:rsid w:val="0F6D706D"/>
    <w:rsid w:val="0FEB1C2B"/>
    <w:rsid w:val="101F18D4"/>
    <w:rsid w:val="1246139A"/>
    <w:rsid w:val="12692649"/>
    <w:rsid w:val="12D045A1"/>
    <w:rsid w:val="12F9465F"/>
    <w:rsid w:val="130366FB"/>
    <w:rsid w:val="1424570B"/>
    <w:rsid w:val="16661FBB"/>
    <w:rsid w:val="166E2C6E"/>
    <w:rsid w:val="185434AE"/>
    <w:rsid w:val="190B6A98"/>
    <w:rsid w:val="197A0D70"/>
    <w:rsid w:val="1A703678"/>
    <w:rsid w:val="1AB31597"/>
    <w:rsid w:val="1AEA644E"/>
    <w:rsid w:val="1BC021BE"/>
    <w:rsid w:val="1C441320"/>
    <w:rsid w:val="1E311151"/>
    <w:rsid w:val="1E480DAA"/>
    <w:rsid w:val="210751BB"/>
    <w:rsid w:val="212F217D"/>
    <w:rsid w:val="21B30CD0"/>
    <w:rsid w:val="22341ABF"/>
    <w:rsid w:val="22643B2A"/>
    <w:rsid w:val="23EE6B84"/>
    <w:rsid w:val="25DE7A14"/>
    <w:rsid w:val="25E92979"/>
    <w:rsid w:val="262F3AA1"/>
    <w:rsid w:val="28105F37"/>
    <w:rsid w:val="293642DB"/>
    <w:rsid w:val="2A1970DC"/>
    <w:rsid w:val="2A3244FE"/>
    <w:rsid w:val="2A3A40D8"/>
    <w:rsid w:val="2C00690C"/>
    <w:rsid w:val="2CC459BD"/>
    <w:rsid w:val="2D0F1A60"/>
    <w:rsid w:val="2D870D8D"/>
    <w:rsid w:val="2E7117CD"/>
    <w:rsid w:val="2E730BE0"/>
    <w:rsid w:val="2F8B69F7"/>
    <w:rsid w:val="309E4697"/>
    <w:rsid w:val="31EA5855"/>
    <w:rsid w:val="32AB107A"/>
    <w:rsid w:val="3355548A"/>
    <w:rsid w:val="34A71D15"/>
    <w:rsid w:val="3755037D"/>
    <w:rsid w:val="37F12D59"/>
    <w:rsid w:val="381B0C8A"/>
    <w:rsid w:val="38AD5420"/>
    <w:rsid w:val="38EF1AE2"/>
    <w:rsid w:val="3A214B52"/>
    <w:rsid w:val="3AED5FA8"/>
    <w:rsid w:val="3C3245BA"/>
    <w:rsid w:val="3CA11436"/>
    <w:rsid w:val="3D8E2FF6"/>
    <w:rsid w:val="3DC92CFC"/>
    <w:rsid w:val="3E304B29"/>
    <w:rsid w:val="3F1104B7"/>
    <w:rsid w:val="3F2D2EF9"/>
    <w:rsid w:val="3F757330"/>
    <w:rsid w:val="4001334C"/>
    <w:rsid w:val="41031ACD"/>
    <w:rsid w:val="428F4A80"/>
    <w:rsid w:val="42DD0631"/>
    <w:rsid w:val="438020AF"/>
    <w:rsid w:val="44781ACB"/>
    <w:rsid w:val="45921AEF"/>
    <w:rsid w:val="4A1629F7"/>
    <w:rsid w:val="4AF66BF2"/>
    <w:rsid w:val="4BC114B6"/>
    <w:rsid w:val="4C017B05"/>
    <w:rsid w:val="4C492286"/>
    <w:rsid w:val="4CEC2563"/>
    <w:rsid w:val="4D20716C"/>
    <w:rsid w:val="4DA16EA9"/>
    <w:rsid w:val="50196B17"/>
    <w:rsid w:val="51F017A9"/>
    <w:rsid w:val="5294522F"/>
    <w:rsid w:val="52FB52AE"/>
    <w:rsid w:val="53E45D42"/>
    <w:rsid w:val="54F17C1D"/>
    <w:rsid w:val="54F621D1"/>
    <w:rsid w:val="54FF3501"/>
    <w:rsid w:val="55381ED8"/>
    <w:rsid w:val="55F90990"/>
    <w:rsid w:val="566E5D97"/>
    <w:rsid w:val="5775306C"/>
    <w:rsid w:val="58204BD7"/>
    <w:rsid w:val="590F2707"/>
    <w:rsid w:val="598F5091"/>
    <w:rsid w:val="5B9B584E"/>
    <w:rsid w:val="5C780973"/>
    <w:rsid w:val="5CA879D2"/>
    <w:rsid w:val="5D3715D8"/>
    <w:rsid w:val="5F225970"/>
    <w:rsid w:val="5FF51ED4"/>
    <w:rsid w:val="60034EDF"/>
    <w:rsid w:val="600E78E4"/>
    <w:rsid w:val="601E0862"/>
    <w:rsid w:val="61380E20"/>
    <w:rsid w:val="616B7AA3"/>
    <w:rsid w:val="6190273F"/>
    <w:rsid w:val="62C72AA6"/>
    <w:rsid w:val="62DA3EAD"/>
    <w:rsid w:val="641E1EA0"/>
    <w:rsid w:val="65125A08"/>
    <w:rsid w:val="653D52B2"/>
    <w:rsid w:val="657F4B20"/>
    <w:rsid w:val="65864EAB"/>
    <w:rsid w:val="661E0125"/>
    <w:rsid w:val="663E5889"/>
    <w:rsid w:val="68185B21"/>
    <w:rsid w:val="68D724B5"/>
    <w:rsid w:val="69AB74A4"/>
    <w:rsid w:val="6A79036A"/>
    <w:rsid w:val="6AB435A5"/>
    <w:rsid w:val="6BCF59E6"/>
    <w:rsid w:val="6BFD1C3F"/>
    <w:rsid w:val="6CE4695B"/>
    <w:rsid w:val="6D1F6838"/>
    <w:rsid w:val="6DF737DA"/>
    <w:rsid w:val="6EF42AB9"/>
    <w:rsid w:val="6F4479B0"/>
    <w:rsid w:val="6F814935"/>
    <w:rsid w:val="70473489"/>
    <w:rsid w:val="70FF5B11"/>
    <w:rsid w:val="716342F2"/>
    <w:rsid w:val="71E222BC"/>
    <w:rsid w:val="71F37B31"/>
    <w:rsid w:val="74475CF1"/>
    <w:rsid w:val="74E33682"/>
    <w:rsid w:val="78372A0F"/>
    <w:rsid w:val="78B96EEE"/>
    <w:rsid w:val="79A142B4"/>
    <w:rsid w:val="7A9674E6"/>
    <w:rsid w:val="7B38234C"/>
    <w:rsid w:val="7C494857"/>
    <w:rsid w:val="7C963B07"/>
    <w:rsid w:val="7CF531D5"/>
    <w:rsid w:val="7E905BE4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bidi w:val="0"/>
      <w:adjustRightInd w:val="0"/>
      <w:snapToGrid w:val="0"/>
      <w:spacing w:line="336" w:lineRule="auto"/>
      <w:ind w:left="0" w:leftChars="0" w:firstLine="0" w:firstLineChars="0"/>
      <w:jc w:val="both"/>
    </w:pPr>
    <w:rPr>
      <w:rFonts w:ascii="汉仪正圆 55简" w:hAnsi="汉仪正圆 55简" w:eastAsia="汉仪正圆 55简" w:cs="Times New Roman"/>
      <w:color w:val="404040" w:themeColor="text1" w:themeTint="BF"/>
      <w:kern w:val="2"/>
      <w:sz w:val="28"/>
      <w:szCs w:val="28"/>
      <w:u w:val="none" w:color="auto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ind w:firstLine="5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605</Characters>
  <Lines>0</Lines>
  <Paragraphs>0</Paragraphs>
  <TotalTime>3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2025-02-14T07:43:00Z</dcterms:created>
  <dc:creator>YANG</dc:creator>
  <cp:lastModifiedBy>YANG</cp:lastModifiedBy>
  <cp:lastPrinted>2025-09-18T01:15:00Z</cp:lastPrinted>
  <dcterms:modified xsi:type="dcterms:W3CDTF">2025-10-21T03:38:04Z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72A54F54663D4C858F0684D5F6212BA1_11</vt:lpwstr>
  </property>
  <property fmtid="{D5CDD505-2E9C-101B-9397-08002B2CF9AE}" pid="4" name="KSOTemplateDocerSaveRecord">
    <vt:lpwstr>eyJoZGlkIjoiMzEwNTM5NzYwMDRjMzkwZTVkZjY2ODkwMGIxNGU0OTUiLCJ1c2VySWQiOiI2MTkzMDk3MTEifQ==</vt:lpwstr>
  </property>
</Properties>
</file>