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245" w:tblpY="-107"/>
        <w:tblOverlap w:val="never"/>
        <w:tblW w:w="9371" w:type="dxa"/>
        <w:tblInd w:w="0" w:type="dxa"/>
        <w:tblLayout w:type="fixed"/>
        <w:tblCellMar>
          <w:top w:w="15" w:type="dxa"/>
          <w:left w:w="15" w:type="dxa"/>
          <w:bottom w:w="15" w:type="dxa"/>
          <w:right w:w="15" w:type="dxa"/>
        </w:tblCellMar>
      </w:tblPr>
      <w:tblGrid>
        <w:gridCol w:w="866"/>
        <w:gridCol w:w="1608"/>
        <w:gridCol w:w="93"/>
        <w:gridCol w:w="2202"/>
        <w:gridCol w:w="3255"/>
        <w:gridCol w:w="1347"/>
      </w:tblGrid>
      <w:tr>
        <w:tblPrEx>
          <w:tblCellMar>
            <w:top w:w="15" w:type="dxa"/>
            <w:left w:w="15" w:type="dxa"/>
            <w:bottom w:w="15" w:type="dxa"/>
            <w:right w:w="15" w:type="dxa"/>
          </w:tblCellMar>
        </w:tblPrEx>
        <w:trPr>
          <w:trHeight w:val="929" w:hRule="atLeast"/>
        </w:trPr>
        <w:tc>
          <w:tcPr>
            <w:tcW w:w="9371" w:type="dxa"/>
            <w:gridSpan w:val="6"/>
            <w:tcBorders>
              <w:top w:val="nil"/>
              <w:left w:val="nil"/>
              <w:bottom w:val="single" w:color="auto" w:sz="12" w:space="0"/>
              <w:right w:val="nil"/>
            </w:tcBorders>
            <w:shd w:val="clear" w:color="auto" w:fill="auto"/>
            <w:vAlign w:val="center"/>
          </w:tcPr>
          <w:p>
            <w:pPr>
              <w:jc w:val="left"/>
              <w:textAlignment w:val="center"/>
              <w:rPr>
                <w:rFonts w:hint="eastAsia" w:ascii="仿宋_GB2312" w:hAnsi="仿宋_GB2312" w:eastAsia="仿宋_GB2312" w:cs="仿宋_GB2312"/>
                <w:b/>
                <w:color w:val="000000"/>
                <w:sz w:val="32"/>
                <w:szCs w:val="32"/>
                <w:shd w:val="clear" w:color="auto" w:fill="auto"/>
                <w:lang w:val="en-US" w:eastAsia="zh-CN" w:bidi="ar"/>
              </w:rPr>
            </w:pPr>
            <w:r>
              <w:rPr>
                <w:rFonts w:hint="eastAsia" w:ascii="仿宋_GB2312" w:hAnsi="仿宋_GB2312" w:eastAsia="仿宋_GB2312" w:cs="仿宋_GB2312"/>
                <w:b/>
                <w:color w:val="000000"/>
                <w:sz w:val="32"/>
                <w:szCs w:val="32"/>
                <w:shd w:val="clear" w:color="auto" w:fill="auto"/>
                <w:lang w:val="en-US" w:eastAsia="zh-CN" w:bidi="ar"/>
              </w:rPr>
              <w:t>附件1</w:t>
            </w:r>
          </w:p>
          <w:p>
            <w:pPr>
              <w:jc w:val="center"/>
              <w:textAlignment w:val="center"/>
              <w:rPr>
                <w:rFonts w:hint="eastAsia" w:ascii="仿宋_GB2312" w:hAnsi="仿宋_GB2312" w:eastAsia="仿宋_GB2312" w:cs="仿宋_GB2312"/>
                <w:b/>
                <w:color w:val="000000"/>
                <w:sz w:val="32"/>
                <w:szCs w:val="32"/>
                <w:shd w:val="clear" w:color="auto" w:fill="auto"/>
                <w:lang w:bidi="ar"/>
              </w:rPr>
            </w:pPr>
            <w:r>
              <w:rPr>
                <w:rFonts w:hint="eastAsia" w:ascii="仿宋_GB2312" w:hAnsi="仿宋_GB2312" w:eastAsia="仿宋_GB2312" w:cs="仿宋_GB2312"/>
                <w:b/>
                <w:color w:val="000000"/>
                <w:sz w:val="32"/>
                <w:szCs w:val="32"/>
                <w:shd w:val="clear" w:color="auto" w:fill="auto"/>
                <w:lang w:bidi="ar"/>
              </w:rPr>
              <w:t>2024年寒假</w:t>
            </w:r>
            <w:r>
              <w:rPr>
                <w:rFonts w:hint="eastAsia" w:ascii="仿宋_GB2312" w:hAnsi="仿宋_GB2312" w:eastAsia="仿宋_GB2312" w:cs="仿宋_GB2312"/>
                <w:b/>
                <w:color w:val="000000"/>
                <w:sz w:val="32"/>
                <w:szCs w:val="32"/>
                <w:shd w:val="clear" w:color="auto" w:fill="auto"/>
                <w:lang w:eastAsia="zh-CN" w:bidi="ar"/>
              </w:rPr>
              <w:t>“</w:t>
            </w:r>
            <w:r>
              <w:rPr>
                <w:rFonts w:hint="eastAsia" w:ascii="仿宋_GB2312" w:hAnsi="仿宋_GB2312" w:eastAsia="仿宋_GB2312" w:cs="仿宋_GB2312"/>
                <w:b/>
                <w:color w:val="000000"/>
                <w:sz w:val="32"/>
                <w:szCs w:val="32"/>
                <w:shd w:val="clear" w:color="auto" w:fill="auto"/>
                <w:lang w:bidi="ar"/>
              </w:rPr>
              <w:t>名校进名企</w:t>
            </w:r>
            <w:r>
              <w:rPr>
                <w:rFonts w:hint="eastAsia" w:ascii="仿宋_GB2312" w:hAnsi="仿宋_GB2312" w:eastAsia="仿宋_GB2312" w:cs="仿宋_GB2312"/>
                <w:b/>
                <w:color w:val="000000"/>
                <w:sz w:val="32"/>
                <w:szCs w:val="32"/>
                <w:shd w:val="clear" w:color="auto" w:fill="auto"/>
                <w:lang w:val="en-US" w:eastAsia="zh-CN" w:bidi="ar"/>
              </w:rPr>
              <w:t>-</w:t>
            </w:r>
            <w:r>
              <w:rPr>
                <w:rFonts w:hint="eastAsia" w:ascii="仿宋_GB2312" w:hAnsi="仿宋_GB2312" w:eastAsia="仿宋_GB2312" w:cs="仿宋_GB2312"/>
                <w:b/>
                <w:color w:val="000000"/>
                <w:sz w:val="32"/>
                <w:szCs w:val="32"/>
                <w:shd w:val="clear" w:color="auto" w:fill="auto"/>
                <w:lang w:bidi="ar"/>
              </w:rPr>
              <w:t>新加坡版</w:t>
            </w:r>
            <w:r>
              <w:rPr>
                <w:rFonts w:hint="eastAsia" w:ascii="仿宋_GB2312" w:hAnsi="仿宋_GB2312" w:eastAsia="仿宋_GB2312" w:cs="仿宋_GB2312"/>
                <w:b/>
                <w:color w:val="000000"/>
                <w:sz w:val="32"/>
                <w:szCs w:val="32"/>
                <w:shd w:val="clear" w:color="auto" w:fill="auto"/>
                <w:lang w:eastAsia="zh-CN" w:bidi="ar"/>
              </w:rPr>
              <w:t>”</w:t>
            </w:r>
            <w:r>
              <w:rPr>
                <w:rFonts w:hint="eastAsia" w:ascii="仿宋_GB2312" w:hAnsi="仿宋_GB2312" w:eastAsia="仿宋_GB2312" w:cs="仿宋_GB2312"/>
                <w:b/>
                <w:color w:val="000000"/>
                <w:sz w:val="32"/>
                <w:szCs w:val="32"/>
                <w:shd w:val="clear" w:color="auto" w:fill="auto"/>
                <w:lang w:bidi="ar"/>
              </w:rPr>
              <w:t>项</w:t>
            </w:r>
            <w:bookmarkStart w:id="0" w:name="_GoBack"/>
            <w:bookmarkEnd w:id="0"/>
            <w:r>
              <w:rPr>
                <w:rFonts w:hint="eastAsia" w:ascii="仿宋_GB2312" w:hAnsi="仿宋_GB2312" w:eastAsia="仿宋_GB2312" w:cs="仿宋_GB2312"/>
                <w:b/>
                <w:color w:val="000000"/>
                <w:sz w:val="32"/>
                <w:szCs w:val="32"/>
                <w:shd w:val="clear" w:color="auto" w:fill="auto"/>
                <w:lang w:bidi="ar"/>
              </w:rPr>
              <w:t>目行程示例</w:t>
            </w:r>
          </w:p>
        </w:tc>
      </w:tr>
      <w:tr>
        <w:tblPrEx>
          <w:tblCellMar>
            <w:top w:w="15" w:type="dxa"/>
            <w:left w:w="15" w:type="dxa"/>
            <w:bottom w:w="15" w:type="dxa"/>
            <w:right w:w="15" w:type="dxa"/>
          </w:tblCellMar>
        </w:tblPrEx>
        <w:trPr>
          <w:trHeight w:val="691" w:hRule="atLeast"/>
        </w:trPr>
        <w:tc>
          <w:tcPr>
            <w:tcW w:w="866" w:type="dxa"/>
            <w:tcBorders>
              <w:top w:val="single" w:color="auto" w:sz="12"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color w:val="000000"/>
                <w:sz w:val="21"/>
                <w:szCs w:val="21"/>
                <w:shd w:val="clear" w:color="auto" w:fill="auto"/>
              </w:rPr>
            </w:pPr>
            <w:r>
              <w:rPr>
                <w:rFonts w:hint="eastAsia" w:ascii="仿宋_GB2312" w:hAnsi="仿宋_GB2312" w:eastAsia="仿宋_GB2312" w:cs="仿宋_GB2312"/>
                <w:b/>
                <w:color w:val="000000"/>
                <w:sz w:val="21"/>
                <w:szCs w:val="21"/>
                <w:shd w:val="clear" w:color="auto" w:fill="auto"/>
                <w:lang w:bidi="ar"/>
              </w:rPr>
              <w:t>日期</w:t>
            </w:r>
          </w:p>
        </w:tc>
        <w:tc>
          <w:tcPr>
            <w:tcW w:w="1701"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color w:val="000000"/>
                <w:sz w:val="21"/>
                <w:szCs w:val="21"/>
                <w:shd w:val="clear" w:color="auto" w:fill="auto"/>
              </w:rPr>
            </w:pPr>
            <w:r>
              <w:rPr>
                <w:rFonts w:hint="eastAsia" w:ascii="仿宋_GB2312" w:hAnsi="仿宋_GB2312" w:eastAsia="仿宋_GB2312" w:cs="仿宋_GB2312"/>
                <w:b/>
                <w:color w:val="000000"/>
                <w:sz w:val="21"/>
                <w:szCs w:val="21"/>
                <w:shd w:val="clear" w:color="auto" w:fill="auto"/>
                <w:lang w:bidi="ar"/>
              </w:rPr>
              <w:t>企业名称</w:t>
            </w:r>
          </w:p>
        </w:tc>
        <w:tc>
          <w:tcPr>
            <w:tcW w:w="2202"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color w:val="000000"/>
                <w:sz w:val="21"/>
                <w:szCs w:val="21"/>
                <w:shd w:val="clear" w:color="auto" w:fill="auto"/>
              </w:rPr>
            </w:pPr>
            <w:r>
              <w:rPr>
                <w:rFonts w:hint="eastAsia" w:ascii="仿宋_GB2312" w:hAnsi="仿宋_GB2312" w:eastAsia="仿宋_GB2312" w:cs="仿宋_GB2312"/>
                <w:b/>
                <w:color w:val="000000"/>
                <w:sz w:val="21"/>
                <w:szCs w:val="21"/>
                <w:shd w:val="clear" w:color="auto" w:fill="auto"/>
                <w:lang w:bidi="ar"/>
              </w:rPr>
              <w:t>参访学习导师</w:t>
            </w:r>
          </w:p>
        </w:tc>
        <w:tc>
          <w:tcPr>
            <w:tcW w:w="3255"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color w:val="000000"/>
                <w:sz w:val="21"/>
                <w:szCs w:val="21"/>
                <w:shd w:val="clear" w:color="auto" w:fill="auto"/>
              </w:rPr>
            </w:pPr>
            <w:r>
              <w:rPr>
                <w:rFonts w:hint="eastAsia" w:ascii="仿宋_GB2312" w:hAnsi="仿宋_GB2312" w:eastAsia="仿宋_GB2312" w:cs="仿宋_GB2312"/>
                <w:b/>
                <w:color w:val="000000"/>
                <w:sz w:val="21"/>
                <w:szCs w:val="21"/>
                <w:shd w:val="clear" w:color="auto" w:fill="auto"/>
                <w:lang w:bidi="ar"/>
              </w:rPr>
              <w:t>参访学习主题</w:t>
            </w:r>
          </w:p>
        </w:tc>
        <w:tc>
          <w:tcPr>
            <w:tcW w:w="1347" w:type="dxa"/>
            <w:tcBorders>
              <w:top w:val="single" w:color="auto" w:sz="12" w:space="0"/>
              <w:left w:val="single" w:color="auto" w:sz="4" w:space="0"/>
              <w:bottom w:val="single" w:color="auto" w:sz="4" w:space="0"/>
              <w:right w:val="single" w:color="000000" w:sz="12" w:space="0"/>
            </w:tcBorders>
            <w:shd w:val="clear" w:color="auto" w:fill="auto"/>
            <w:vAlign w:val="center"/>
          </w:tcPr>
          <w:p>
            <w:pPr>
              <w:jc w:val="center"/>
              <w:textAlignment w:val="center"/>
              <w:rPr>
                <w:rFonts w:hint="eastAsia" w:ascii="仿宋_GB2312" w:hAnsi="仿宋_GB2312" w:eastAsia="仿宋_GB2312" w:cs="仿宋_GB2312"/>
                <w:b/>
                <w:color w:val="000000"/>
                <w:sz w:val="21"/>
                <w:szCs w:val="21"/>
                <w:shd w:val="clear" w:color="auto" w:fill="auto"/>
              </w:rPr>
            </w:pPr>
            <w:r>
              <w:rPr>
                <w:rFonts w:hint="eastAsia" w:ascii="仿宋_GB2312" w:hAnsi="仿宋_GB2312" w:eastAsia="仿宋_GB2312" w:cs="仿宋_GB2312"/>
                <w:b/>
                <w:color w:val="000000"/>
                <w:sz w:val="21"/>
                <w:szCs w:val="21"/>
                <w:shd w:val="clear" w:color="auto" w:fill="auto"/>
                <w:lang w:bidi="ar"/>
              </w:rPr>
              <w:t>地点</w:t>
            </w:r>
          </w:p>
        </w:tc>
      </w:tr>
      <w:tr>
        <w:tblPrEx>
          <w:tblCellMar>
            <w:top w:w="15" w:type="dxa"/>
            <w:left w:w="15" w:type="dxa"/>
            <w:bottom w:w="15" w:type="dxa"/>
            <w:right w:w="15" w:type="dxa"/>
          </w:tblCellMar>
        </w:tblPrEx>
        <w:trPr>
          <w:trHeight w:val="601"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第1天</w:t>
            </w: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 xml:space="preserve"> </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b/>
                <w:bCs/>
                <w:color w:val="000000"/>
                <w:sz w:val="21"/>
                <w:szCs w:val="21"/>
                <w:shd w:val="clear" w:color="auto" w:fill="auto"/>
              </w:rPr>
              <w:t>上海赴外文化交流中心</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上海赴外文化交流中心</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b/>
                <w:bCs/>
                <w:color w:val="000000"/>
                <w:sz w:val="21"/>
                <w:szCs w:val="21"/>
                <w:shd w:val="clear" w:color="auto" w:fill="auto"/>
              </w:rPr>
              <w:t>报到</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ind w:firstLine="315" w:firstLineChars="150"/>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杭州市</w:t>
            </w:r>
          </w:p>
        </w:tc>
      </w:tr>
      <w:tr>
        <w:tblPrEx>
          <w:tblCellMar>
            <w:top w:w="15" w:type="dxa"/>
            <w:left w:w="15" w:type="dxa"/>
            <w:bottom w:w="15" w:type="dxa"/>
            <w:right w:w="15" w:type="dxa"/>
          </w:tblCellMar>
        </w:tblPrEx>
        <w:trPr>
          <w:trHeight w:val="2565"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第2天</w:t>
            </w:r>
          </w:p>
          <w:p>
            <w:pPr>
              <w:ind w:firstLine="105" w:firstLineChars="50"/>
              <w:textAlignment w:val="center"/>
              <w:rPr>
                <w:rFonts w:hint="eastAsia" w:ascii="仿宋_GB2312" w:hAnsi="仿宋_GB2312" w:eastAsia="仿宋_GB2312" w:cs="仿宋_GB2312"/>
                <w:color w:val="000000"/>
                <w:sz w:val="21"/>
                <w:szCs w:val="21"/>
                <w:shd w:val="clear" w:color="auto" w:fill="auto"/>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color w:val="000000"/>
                <w:sz w:val="21"/>
                <w:szCs w:val="21"/>
                <w:shd w:val="clear" w:color="auto" w:fill="auto"/>
              </w:rPr>
            </w:pPr>
            <w:r>
              <w:rPr>
                <w:rFonts w:hint="eastAsia" w:ascii="仿宋_GB2312" w:hAnsi="仿宋_GB2312" w:eastAsia="仿宋_GB2312" w:cs="仿宋_GB2312"/>
                <w:b/>
                <w:color w:val="000000"/>
                <w:sz w:val="21"/>
                <w:szCs w:val="21"/>
                <w:shd w:val="clear" w:color="auto" w:fill="auto"/>
              </w:rPr>
              <w:t>阿里巴巴</w:t>
            </w: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b/>
                <w:color w:val="000000"/>
                <w:sz w:val="21"/>
                <w:szCs w:val="21"/>
                <w:shd w:val="clear" w:color="auto" w:fill="auto"/>
              </w:rPr>
              <w:t>参访</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阿里导师课程分享</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b/>
                <w:bCs/>
                <w:sz w:val="21"/>
                <w:szCs w:val="21"/>
                <w:shd w:val="clear" w:color="auto" w:fill="auto"/>
              </w:rPr>
            </w:pPr>
            <w:r>
              <w:rPr>
                <w:rFonts w:hint="eastAsia" w:ascii="仿宋_GB2312" w:hAnsi="仿宋_GB2312" w:eastAsia="仿宋_GB2312" w:cs="仿宋_GB2312"/>
                <w:b/>
                <w:bCs/>
                <w:sz w:val="21"/>
                <w:szCs w:val="21"/>
                <w:shd w:val="clear" w:color="auto" w:fill="auto"/>
              </w:rPr>
              <w:t>开营仪式</w:t>
            </w:r>
          </w:p>
          <w:p>
            <w:pPr>
              <w:textAlignment w:val="center"/>
              <w:rPr>
                <w:rFonts w:hint="eastAsia" w:ascii="仿宋_GB2312" w:hAnsi="仿宋_GB2312" w:eastAsia="仿宋_GB2312" w:cs="仿宋_GB2312"/>
                <w:b/>
                <w:bCs/>
                <w:sz w:val="21"/>
                <w:szCs w:val="21"/>
                <w:shd w:val="clear" w:color="auto" w:fill="auto"/>
              </w:rPr>
            </w:pPr>
            <w:r>
              <w:rPr>
                <w:rFonts w:hint="eastAsia" w:ascii="仿宋_GB2312" w:hAnsi="仿宋_GB2312" w:eastAsia="仿宋_GB2312" w:cs="仿宋_GB2312"/>
                <w:bCs/>
                <w:sz w:val="21"/>
                <w:szCs w:val="21"/>
                <w:shd w:val="clear" w:color="auto" w:fill="auto"/>
              </w:rPr>
              <w:t>上海赴外文化交流中心致欢迎词</w:t>
            </w:r>
          </w:p>
          <w:p>
            <w:pPr>
              <w:textAlignment w:val="center"/>
              <w:rPr>
                <w:rFonts w:hint="eastAsia" w:ascii="仿宋_GB2312" w:hAnsi="仿宋_GB2312" w:eastAsia="仿宋_GB2312" w:cs="仿宋_GB2312"/>
                <w:b/>
                <w:bCs/>
                <w:sz w:val="21"/>
                <w:szCs w:val="21"/>
                <w:shd w:val="clear" w:color="auto" w:fill="auto"/>
              </w:rPr>
            </w:pPr>
            <w:r>
              <w:rPr>
                <w:rFonts w:hint="eastAsia" w:ascii="仿宋_GB2312" w:hAnsi="仿宋_GB2312" w:eastAsia="仿宋_GB2312" w:cs="仿宋_GB2312"/>
                <w:b/>
                <w:bCs/>
                <w:sz w:val="21"/>
                <w:szCs w:val="21"/>
                <w:shd w:val="clear" w:color="auto" w:fill="auto"/>
              </w:rPr>
              <w:t>走进名企主题：阿里巴巴</w:t>
            </w:r>
          </w:p>
          <w:p>
            <w:pPr>
              <w:ind w:left="210" w:hanging="210" w:hangingChars="10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1.阿里员工对阿里文化进行探索体验与战略发展学习</w:t>
            </w:r>
          </w:p>
          <w:p>
            <w:pP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2.阿里员工食堂就餐体验</w:t>
            </w:r>
          </w:p>
          <w:p>
            <w:pPr>
              <w:ind w:left="210" w:hanging="210" w:hangingChars="10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3.阿里巴巴人才发展及管理相关课程/大数据领域相关课程</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杭州市</w:t>
            </w: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阿里巴巴总部</w:t>
            </w:r>
          </w:p>
        </w:tc>
      </w:tr>
      <w:tr>
        <w:tblPrEx>
          <w:tblCellMar>
            <w:top w:w="15" w:type="dxa"/>
            <w:left w:w="15" w:type="dxa"/>
            <w:bottom w:w="15" w:type="dxa"/>
            <w:right w:w="15" w:type="dxa"/>
          </w:tblCellMar>
        </w:tblPrEx>
        <w:trPr>
          <w:trHeight w:val="3704"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第3天</w:t>
            </w: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 xml:space="preserve"> </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color w:val="000000"/>
                <w:sz w:val="21"/>
                <w:szCs w:val="21"/>
                <w:shd w:val="clear" w:color="auto" w:fill="auto"/>
              </w:rPr>
            </w:pPr>
            <w:r>
              <w:rPr>
                <w:rFonts w:hint="eastAsia" w:ascii="仿宋_GB2312" w:hAnsi="仿宋_GB2312" w:eastAsia="仿宋_GB2312" w:cs="仿宋_GB2312"/>
                <w:b/>
                <w:color w:val="000000"/>
                <w:sz w:val="21"/>
                <w:szCs w:val="21"/>
                <w:shd w:val="clear" w:color="auto" w:fill="auto"/>
              </w:rPr>
              <w:t>上海赴外文化交流中心</w:t>
            </w:r>
          </w:p>
          <w:p>
            <w:pPr>
              <w:jc w:val="center"/>
              <w:textAlignment w:val="center"/>
              <w:rPr>
                <w:rFonts w:hint="eastAsia" w:ascii="仿宋_GB2312" w:hAnsi="仿宋_GB2312" w:eastAsia="仿宋_GB2312" w:cs="仿宋_GB2312"/>
                <w:b/>
                <w:color w:val="000000"/>
                <w:sz w:val="21"/>
                <w:szCs w:val="21"/>
                <w:shd w:val="clear" w:color="auto" w:fill="auto"/>
              </w:rPr>
            </w:pP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b/>
                <w:sz w:val="21"/>
                <w:szCs w:val="21"/>
                <w:shd w:val="clear" w:color="auto" w:fill="auto"/>
              </w:rPr>
              <w:t>联合国工业发展组织全球创新网络项目智能产业促进中心</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上海赴外文化交流中心主任——陈超</w:t>
            </w:r>
          </w:p>
          <w:p>
            <w:pPr>
              <w:ind w:firstLine="945" w:firstLineChars="450"/>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或</w:t>
            </w:r>
          </w:p>
          <w:p>
            <w:pP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联合国工业发展组织全球创新网络项目智能产业促进中心——王祥</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1"/>
                <w:szCs w:val="21"/>
                <w:shd w:val="clear" w:color="auto" w:fill="auto"/>
                <w:lang w:bidi="ar"/>
              </w:rPr>
            </w:pPr>
            <w:r>
              <w:rPr>
                <w:rFonts w:hint="eastAsia" w:ascii="仿宋_GB2312" w:hAnsi="仿宋_GB2312" w:eastAsia="仿宋_GB2312" w:cs="仿宋_GB2312"/>
                <w:b/>
                <w:bCs/>
                <w:sz w:val="21"/>
                <w:szCs w:val="21"/>
                <w:shd w:val="clear" w:color="auto" w:fill="auto"/>
                <w:lang w:bidi="ar"/>
              </w:rPr>
              <w:t>爱国主义教育实践活动</w:t>
            </w:r>
          </w:p>
          <w:p>
            <w:pPr>
              <w:textAlignment w:val="center"/>
              <w:rPr>
                <w:rFonts w:hint="eastAsia" w:ascii="仿宋_GB2312" w:hAnsi="仿宋_GB2312" w:eastAsia="仿宋_GB2312" w:cs="仿宋_GB2312"/>
                <w:b/>
                <w:bCs/>
                <w:sz w:val="21"/>
                <w:szCs w:val="21"/>
                <w:shd w:val="clear" w:color="auto" w:fill="auto"/>
              </w:rPr>
            </w:pPr>
            <w:r>
              <w:rPr>
                <w:rFonts w:hint="eastAsia" w:ascii="仿宋_GB2312" w:hAnsi="仿宋_GB2312" w:eastAsia="仿宋_GB2312" w:cs="仿宋_GB2312"/>
                <w:sz w:val="21"/>
                <w:szCs w:val="21"/>
                <w:shd w:val="clear" w:color="auto" w:fill="auto"/>
                <w:lang w:bidi="ar"/>
              </w:rPr>
              <w:t>参观中共一大会址，通过实地学习，进一步深化党史学习教育</w:t>
            </w:r>
          </w:p>
          <w:p>
            <w:pPr>
              <w:textAlignment w:val="center"/>
              <w:rPr>
                <w:rFonts w:hint="eastAsia" w:ascii="仿宋_GB2312" w:hAnsi="仿宋_GB2312" w:eastAsia="仿宋_GB2312" w:cs="仿宋_GB2312"/>
                <w:b/>
                <w:bCs/>
                <w:sz w:val="21"/>
                <w:szCs w:val="21"/>
                <w:shd w:val="clear" w:color="auto" w:fill="auto"/>
              </w:rPr>
            </w:pPr>
            <w:r>
              <w:rPr>
                <w:rFonts w:hint="eastAsia" w:ascii="仿宋_GB2312" w:hAnsi="仿宋_GB2312" w:eastAsia="仿宋_GB2312" w:cs="仿宋_GB2312"/>
                <w:b/>
                <w:bCs/>
                <w:sz w:val="21"/>
                <w:szCs w:val="21"/>
                <w:shd w:val="clear" w:color="auto" w:fill="auto"/>
              </w:rPr>
              <w:t>学生商业思维训练</w:t>
            </w:r>
          </w:p>
          <w:p>
            <w:pPr>
              <w:pStyle w:val="4"/>
              <w:widowControl/>
              <w:ind w:firstLine="0" w:firstLineChars="0"/>
              <w:jc w:val="left"/>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1.讲解投资之道的思路</w:t>
            </w:r>
          </w:p>
          <w:p>
            <w:pPr>
              <w:pStyle w:val="4"/>
              <w:widowControl/>
              <w:ind w:firstLine="0" w:firstLineChars="0"/>
              <w:jc w:val="left"/>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2.投资之道课题任务安排</w:t>
            </w:r>
          </w:p>
          <w:p>
            <w:pPr>
              <w:pStyle w:val="4"/>
              <w:widowControl/>
              <w:ind w:firstLine="0" w:firstLineChars="0"/>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或</w:t>
            </w:r>
          </w:p>
          <w:p>
            <w:pPr>
              <w:pStyle w:val="4"/>
              <w:widowControl/>
              <w:ind w:firstLine="0" w:firstLineChars="0"/>
              <w:jc w:val="left"/>
              <w:textAlignment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联合国课程</w:t>
            </w:r>
          </w:p>
          <w:p>
            <w:pPr>
              <w:pStyle w:val="4"/>
              <w:widowControl/>
              <w:ind w:firstLine="0" w:firstLineChars="0"/>
              <w:jc w:val="left"/>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联合国工业发展组织全球创新网络项目智能产业促进中心《ChatGPT的应用》</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上海市</w:t>
            </w:r>
          </w:p>
        </w:tc>
      </w:tr>
      <w:tr>
        <w:tblPrEx>
          <w:tblCellMar>
            <w:top w:w="15" w:type="dxa"/>
            <w:left w:w="15" w:type="dxa"/>
            <w:bottom w:w="15" w:type="dxa"/>
            <w:right w:w="15" w:type="dxa"/>
          </w:tblCellMar>
        </w:tblPrEx>
        <w:trPr>
          <w:trHeight w:val="481"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 xml:space="preserve">第4天 </w:t>
            </w:r>
          </w:p>
        </w:tc>
        <w:tc>
          <w:tcPr>
            <w:tcW w:w="8505"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rPr>
                <w:rFonts w:hint="eastAsia" w:ascii="仿宋_GB2312" w:hAnsi="仿宋_GB2312" w:eastAsia="仿宋_GB2312" w:cs="仿宋_GB2312"/>
                <w:b/>
                <w:bCs/>
                <w:color w:val="000000"/>
                <w:sz w:val="21"/>
                <w:szCs w:val="21"/>
                <w:shd w:val="clear" w:color="auto" w:fill="auto"/>
              </w:rPr>
            </w:pP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出发赴新加坡，</w:t>
            </w:r>
            <w:r>
              <w:rPr>
                <w:rFonts w:hint="eastAsia" w:ascii="仿宋_GB2312" w:hAnsi="仿宋_GB2312" w:eastAsia="仿宋_GB2312" w:cs="仿宋_GB2312"/>
                <w:color w:val="000000"/>
                <w:sz w:val="21"/>
                <w:szCs w:val="21"/>
                <w:shd w:val="clear" w:color="auto" w:fill="auto"/>
              </w:rPr>
              <w:t>抵达新加坡</w:t>
            </w:r>
          </w:p>
        </w:tc>
      </w:tr>
      <w:tr>
        <w:tblPrEx>
          <w:tblCellMar>
            <w:top w:w="15" w:type="dxa"/>
            <w:left w:w="15" w:type="dxa"/>
            <w:bottom w:w="15" w:type="dxa"/>
            <w:right w:w="15" w:type="dxa"/>
          </w:tblCellMar>
        </w:tblPrEx>
        <w:trPr>
          <w:trHeight w:val="1884"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1"/>
                <w:szCs w:val="21"/>
                <w:shd w:val="clear" w:color="auto" w:fill="auto"/>
              </w:rPr>
            </w:pPr>
          </w:p>
          <w:p>
            <w:pPr>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第5天</w:t>
            </w:r>
          </w:p>
          <w:p>
            <w:pPr>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 xml:space="preserve">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新跃社科大学</w:t>
            </w:r>
          </w:p>
          <w:p>
            <w:pPr>
              <w:ind w:firstLine="316" w:firstLineChars="15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b/>
                <w:sz w:val="21"/>
                <w:szCs w:val="21"/>
                <w:shd w:val="clear" w:color="auto" w:fill="auto"/>
              </w:rPr>
              <w:t>课程&amp;参访</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p>
          <w:p>
            <w:pPr>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p>
          <w:p>
            <w:pPr>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新跃社科大学客座教授——Dr. Lu Hu</w:t>
            </w:r>
          </w:p>
          <w:p>
            <w:pPr>
              <w:textAlignment w:val="center"/>
              <w:rPr>
                <w:rFonts w:hint="eastAsia" w:ascii="仿宋_GB2312" w:hAnsi="仿宋_GB2312" w:eastAsia="仿宋_GB2312" w:cs="仿宋_GB2312"/>
                <w:sz w:val="21"/>
                <w:szCs w:val="21"/>
                <w:shd w:val="clear" w:color="auto" w:fill="auto"/>
              </w:rPr>
            </w:pPr>
          </w:p>
          <w:p>
            <w:pPr>
              <w:textAlignment w:val="center"/>
              <w:rPr>
                <w:rFonts w:hint="eastAsia" w:ascii="仿宋_GB2312" w:hAnsi="仿宋_GB2312" w:eastAsia="仿宋_GB2312" w:cs="仿宋_GB2312"/>
                <w:sz w:val="21"/>
                <w:szCs w:val="21"/>
                <w:shd w:val="clear" w:color="auto" w:fill="auto"/>
              </w:rPr>
            </w:pP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b/>
                <w:bCs/>
                <w:color w:val="000000"/>
                <w:sz w:val="21"/>
                <w:szCs w:val="21"/>
                <w:shd w:val="clear" w:color="auto" w:fill="auto"/>
              </w:rPr>
            </w:pPr>
            <w:r>
              <w:rPr>
                <w:rFonts w:hint="eastAsia" w:ascii="仿宋_GB2312" w:hAnsi="仿宋_GB2312" w:eastAsia="仿宋_GB2312" w:cs="仿宋_GB2312"/>
                <w:b/>
                <w:bCs/>
                <w:color w:val="000000"/>
                <w:sz w:val="21"/>
                <w:szCs w:val="21"/>
                <w:shd w:val="clear" w:color="auto" w:fill="auto"/>
              </w:rPr>
              <w:t>开营</w:t>
            </w:r>
          </w:p>
          <w:p>
            <w:pPr>
              <w:textAlignment w:val="center"/>
              <w:rPr>
                <w:rFonts w:hint="eastAsia" w:ascii="仿宋_GB2312" w:hAnsi="仿宋_GB2312" w:eastAsia="仿宋_GB2312" w:cs="仿宋_GB2312"/>
                <w:b/>
                <w:bCs/>
                <w:color w:val="000000"/>
                <w:sz w:val="21"/>
                <w:szCs w:val="21"/>
                <w:shd w:val="clear" w:color="auto" w:fill="auto"/>
              </w:rPr>
            </w:pPr>
            <w:r>
              <w:rPr>
                <w:rFonts w:hint="eastAsia" w:ascii="仿宋_GB2312" w:hAnsi="仿宋_GB2312" w:eastAsia="仿宋_GB2312" w:cs="仿宋_GB2312"/>
                <w:b/>
                <w:bCs/>
                <w:color w:val="000000"/>
                <w:sz w:val="21"/>
                <w:szCs w:val="21"/>
                <w:shd w:val="clear" w:color="auto" w:fill="auto"/>
              </w:rPr>
              <w:t>课程分享</w:t>
            </w:r>
          </w:p>
          <w:p>
            <w:pPr>
              <w:pStyle w:val="4"/>
              <w:tabs>
                <w:tab w:val="left" w:pos="312"/>
              </w:tabs>
              <w:ind w:firstLine="0" w:firstLineChars="0"/>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新加坡-南洋文化介绍</w:t>
            </w:r>
          </w:p>
          <w:p>
            <w:pPr>
              <w:tabs>
                <w:tab w:val="left" w:pos="312"/>
              </w:tabs>
              <w:textAlignment w:val="center"/>
              <w:rPr>
                <w:rFonts w:hint="eastAsia" w:ascii="仿宋_GB2312" w:hAnsi="仿宋_GB2312" w:eastAsia="仿宋_GB2312" w:cs="仿宋_GB2312"/>
                <w:b/>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b/>
                <w:color w:val="000000" w:themeColor="text1"/>
                <w:sz w:val="21"/>
                <w:szCs w:val="21"/>
                <w:shd w:val="clear" w:color="auto" w:fill="auto"/>
                <w14:textFill>
                  <w14:solidFill>
                    <w14:schemeClr w14:val="tx1"/>
                  </w14:solidFill>
                </w14:textFill>
              </w:rPr>
              <w:t>走进学府</w:t>
            </w:r>
          </w:p>
          <w:p>
            <w:pPr>
              <w:tabs>
                <w:tab w:val="left" w:pos="312"/>
              </w:tabs>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学生示范性项目—新跃社科大学现代农场及食品安全的创新发展</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新加坡</w:t>
            </w:r>
          </w:p>
        </w:tc>
      </w:tr>
      <w:tr>
        <w:tblPrEx>
          <w:tblCellMar>
            <w:top w:w="15" w:type="dxa"/>
            <w:left w:w="15" w:type="dxa"/>
            <w:bottom w:w="15" w:type="dxa"/>
            <w:right w:w="15" w:type="dxa"/>
          </w:tblCellMar>
        </w:tblPrEx>
        <w:trPr>
          <w:trHeight w:val="2528"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第6天</w:t>
            </w:r>
          </w:p>
          <w:p>
            <w:pPr>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 xml:space="preserve">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lang w:bidi="ar"/>
              </w:rPr>
            </w:pPr>
          </w:p>
          <w:p>
            <w:pPr>
              <w:jc w:val="center"/>
              <w:textAlignment w:val="center"/>
              <w:rPr>
                <w:rFonts w:hint="eastAsia" w:ascii="仿宋_GB2312" w:hAnsi="仿宋_GB2312" w:eastAsia="仿宋_GB2312" w:cs="仿宋_GB2312"/>
                <w:b/>
                <w:color w:val="000000"/>
                <w:sz w:val="21"/>
                <w:szCs w:val="21"/>
                <w:shd w:val="clear" w:color="auto" w:fill="auto"/>
                <w:lang w:bidi="ar"/>
              </w:rPr>
            </w:pPr>
            <w:r>
              <w:rPr>
                <w:rFonts w:hint="eastAsia" w:ascii="仿宋_GB2312" w:hAnsi="仿宋_GB2312" w:eastAsia="仿宋_GB2312" w:cs="仿宋_GB2312"/>
                <w:b/>
                <w:color w:val="000000"/>
                <w:sz w:val="21"/>
                <w:szCs w:val="21"/>
                <w:shd w:val="clear" w:color="auto" w:fill="auto"/>
                <w:lang w:bidi="ar"/>
              </w:rPr>
              <w:t>互联网产品</w:t>
            </w:r>
          </w:p>
          <w:p>
            <w:pPr>
              <w:jc w:val="center"/>
              <w:textAlignment w:val="center"/>
              <w:rPr>
                <w:rFonts w:hint="eastAsia" w:ascii="仿宋_GB2312" w:hAnsi="仿宋_GB2312" w:eastAsia="仿宋_GB2312" w:cs="仿宋_GB2312"/>
                <w:b/>
                <w:color w:val="000000"/>
                <w:sz w:val="21"/>
                <w:szCs w:val="21"/>
                <w:shd w:val="clear" w:color="auto" w:fill="auto"/>
                <w:lang w:bidi="ar"/>
              </w:rPr>
            </w:pPr>
            <w:r>
              <w:rPr>
                <w:rFonts w:hint="eastAsia" w:ascii="仿宋_GB2312" w:hAnsi="仿宋_GB2312" w:eastAsia="仿宋_GB2312" w:cs="仿宋_GB2312"/>
                <w:b/>
                <w:color w:val="000000"/>
                <w:sz w:val="21"/>
                <w:szCs w:val="21"/>
                <w:shd w:val="clear" w:color="auto" w:fill="auto"/>
                <w:lang w:bidi="ar"/>
              </w:rPr>
              <w:t>课程</w:t>
            </w:r>
          </w:p>
          <w:p>
            <w:pPr>
              <w:jc w:val="both"/>
              <w:textAlignment w:val="center"/>
              <w:rPr>
                <w:rFonts w:hint="eastAsia" w:ascii="仿宋_GB2312" w:hAnsi="仿宋_GB2312" w:eastAsia="仿宋_GB2312" w:cs="仿宋_GB2312"/>
                <w:color w:val="000000"/>
                <w:sz w:val="21"/>
                <w:szCs w:val="21"/>
                <w:shd w:val="clear" w:color="auto" w:fill="auto"/>
                <w:lang w:bidi="ar"/>
              </w:rPr>
            </w:pPr>
          </w:p>
          <w:p>
            <w:pPr>
              <w:jc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新加坡环境与水创新科研中心EWTCOI</w:t>
            </w:r>
          </w:p>
          <w:p>
            <w:pPr>
              <w:jc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b/>
                <w:sz w:val="21"/>
                <w:szCs w:val="21"/>
                <w:shd w:val="clear" w:color="auto" w:fill="auto"/>
              </w:rPr>
              <w:t>参访</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原谷歌产品经理——Julia Li</w:t>
            </w:r>
          </w:p>
          <w:p>
            <w:pPr>
              <w:jc w:val="center"/>
              <w:textAlignment w:val="center"/>
              <w:rPr>
                <w:rFonts w:hint="eastAsia" w:ascii="仿宋_GB2312" w:hAnsi="仿宋_GB2312" w:eastAsia="仿宋_GB2312" w:cs="仿宋_GB2312"/>
                <w:color w:val="000000"/>
                <w:sz w:val="21"/>
                <w:szCs w:val="21"/>
                <w:shd w:val="clear" w:color="auto" w:fill="auto"/>
              </w:rPr>
            </w:pPr>
          </w:p>
          <w:p>
            <w:pPr>
              <w:jc w:val="center"/>
              <w:textAlignment w:val="center"/>
              <w:rPr>
                <w:rFonts w:hint="eastAsia" w:ascii="仿宋_GB2312" w:hAnsi="仿宋_GB2312" w:eastAsia="仿宋_GB2312" w:cs="仿宋_GB2312"/>
                <w:color w:val="000000"/>
                <w:sz w:val="21"/>
                <w:szCs w:val="21"/>
                <w:shd w:val="clear" w:color="auto" w:fill="auto"/>
              </w:rPr>
            </w:pPr>
          </w:p>
          <w:p>
            <w:pPr>
              <w:jc w:val="both"/>
              <w:textAlignment w:val="center"/>
              <w:rPr>
                <w:rFonts w:hint="eastAsia" w:ascii="仿宋_GB2312" w:hAnsi="仿宋_GB2312" w:eastAsia="仿宋_GB2312" w:cs="仿宋_GB2312"/>
                <w:color w:val="000000"/>
                <w:sz w:val="21"/>
                <w:szCs w:val="21"/>
                <w:shd w:val="clear" w:color="auto" w:fill="auto"/>
              </w:rPr>
            </w:pPr>
          </w:p>
          <w:p>
            <w:pPr>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环境与水创新科研中心</w:t>
            </w:r>
          </w:p>
          <w:p>
            <w:pPr>
              <w:jc w:val="center"/>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ind w:firstLine="0" w:firstLineChars="0"/>
              <w:textAlignment w:val="center"/>
              <w:rPr>
                <w:rFonts w:hint="eastAsia" w:ascii="仿宋_GB2312" w:hAnsi="仿宋_GB2312" w:eastAsia="仿宋_GB2312" w:cs="仿宋_GB2312"/>
                <w:b/>
                <w:bCs/>
                <w:color w:val="000000"/>
                <w:kern w:val="0"/>
                <w:sz w:val="21"/>
                <w:szCs w:val="21"/>
                <w:shd w:val="clear" w:color="auto" w:fill="auto"/>
              </w:rPr>
            </w:pPr>
            <w:r>
              <w:rPr>
                <w:rFonts w:hint="eastAsia" w:ascii="仿宋_GB2312" w:hAnsi="仿宋_GB2312" w:eastAsia="仿宋_GB2312" w:cs="仿宋_GB2312"/>
                <w:b/>
                <w:bCs/>
                <w:color w:val="000000"/>
                <w:kern w:val="0"/>
                <w:sz w:val="21"/>
                <w:szCs w:val="21"/>
                <w:shd w:val="clear" w:color="auto" w:fill="auto"/>
              </w:rPr>
              <w:t>学生商业思维训练</w:t>
            </w:r>
          </w:p>
          <w:p>
            <w:pPr>
              <w:pStyle w:val="4"/>
              <w:ind w:firstLine="0" w:firstLineChars="0"/>
              <w:textAlignment w:val="center"/>
              <w:rPr>
                <w:rFonts w:hint="eastAsia" w:ascii="仿宋_GB2312" w:hAnsi="仿宋_GB2312" w:eastAsia="仿宋_GB2312" w:cs="仿宋_GB2312"/>
                <w:color w:val="000000"/>
                <w:sz w:val="21"/>
                <w:szCs w:val="21"/>
                <w:shd w:val="clear" w:color="auto" w:fill="auto"/>
                <w:lang w:bidi="ar"/>
              </w:rPr>
            </w:pPr>
            <w:r>
              <w:rPr>
                <w:rFonts w:hint="eastAsia" w:ascii="仿宋_GB2312" w:hAnsi="仿宋_GB2312" w:eastAsia="仿宋_GB2312" w:cs="仿宋_GB2312"/>
                <w:color w:val="000000"/>
                <w:sz w:val="21"/>
                <w:szCs w:val="21"/>
                <w:shd w:val="clear" w:color="auto" w:fill="auto"/>
              </w:rPr>
              <w:t>产品增长与扩展</w:t>
            </w:r>
            <w:r>
              <w:rPr>
                <w:rFonts w:hint="eastAsia" w:ascii="仿宋_GB2312" w:hAnsi="仿宋_GB2312" w:eastAsia="仿宋_GB2312" w:cs="仿宋_GB2312"/>
                <w:color w:val="000000"/>
                <w:sz w:val="21"/>
                <w:szCs w:val="21"/>
                <w:shd w:val="clear" w:color="auto" w:fill="auto"/>
                <w:lang w:bidi="ar"/>
              </w:rPr>
              <w:t>课程</w:t>
            </w:r>
          </w:p>
          <w:p>
            <w:pPr>
              <w:textAlignment w:val="center"/>
              <w:rPr>
                <w:rFonts w:hint="eastAsia" w:ascii="仿宋_GB2312" w:hAnsi="仿宋_GB2312" w:eastAsia="仿宋_GB2312" w:cs="仿宋_GB2312"/>
                <w:b/>
                <w:bCs/>
                <w:color w:val="000000"/>
                <w:sz w:val="21"/>
                <w:szCs w:val="21"/>
                <w:shd w:val="clear" w:color="auto" w:fill="auto"/>
              </w:rPr>
            </w:pPr>
            <w:r>
              <w:rPr>
                <w:rFonts w:hint="eastAsia" w:ascii="仿宋_GB2312" w:hAnsi="仿宋_GB2312" w:eastAsia="仿宋_GB2312" w:cs="仿宋_GB2312"/>
                <w:b/>
                <w:bCs/>
                <w:color w:val="000000"/>
                <w:sz w:val="21"/>
                <w:szCs w:val="21"/>
                <w:shd w:val="clear" w:color="auto" w:fill="auto"/>
              </w:rPr>
              <w:t>走进名企主题</w:t>
            </w:r>
          </w:p>
          <w:p>
            <w:pPr>
              <w:textAlignment w:val="center"/>
              <w:rPr>
                <w:rFonts w:hint="eastAsia" w:ascii="仿宋_GB2312" w:hAnsi="仿宋_GB2312" w:eastAsia="仿宋_GB2312" w:cs="仿宋_GB2312"/>
                <w:b/>
                <w:bCs/>
                <w:color w:val="000000"/>
                <w:sz w:val="21"/>
                <w:szCs w:val="21"/>
                <w:shd w:val="clear" w:color="auto" w:fill="auto"/>
              </w:rPr>
            </w:pP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参观EWTCOI，新加坡企业发展局和义安理工学院的战略合作项目,了解他们是如何用创新科技来提供解决思路，以达到可持续发展的目标</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新加坡</w:t>
            </w:r>
          </w:p>
        </w:tc>
      </w:tr>
      <w:tr>
        <w:tblPrEx>
          <w:tblCellMar>
            <w:top w:w="15" w:type="dxa"/>
            <w:left w:w="15" w:type="dxa"/>
            <w:bottom w:w="15" w:type="dxa"/>
            <w:right w:w="15" w:type="dxa"/>
          </w:tblCellMar>
        </w:tblPrEx>
        <w:trPr>
          <w:trHeight w:val="763"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1"/>
                <w:szCs w:val="21"/>
                <w:shd w:val="clear" w:color="auto" w:fill="auto"/>
              </w:rPr>
            </w:pPr>
          </w:p>
          <w:p>
            <w:pPr>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第7天</w:t>
            </w:r>
          </w:p>
          <w:p>
            <w:pPr>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 xml:space="preserve">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color w:val="000000"/>
                <w:sz w:val="21"/>
                <w:szCs w:val="21"/>
                <w:shd w:val="clear" w:color="auto" w:fill="auto"/>
                <w:lang w:bidi="ar"/>
              </w:rPr>
            </w:pPr>
            <w:r>
              <w:rPr>
                <w:rFonts w:hint="eastAsia" w:ascii="仿宋_GB2312" w:hAnsi="仿宋_GB2312" w:eastAsia="仿宋_GB2312" w:cs="仿宋_GB2312"/>
                <w:b/>
                <w:color w:val="000000"/>
                <w:sz w:val="21"/>
                <w:szCs w:val="21"/>
                <w:shd w:val="clear" w:color="auto" w:fill="auto"/>
                <w:lang w:bidi="ar"/>
              </w:rPr>
              <w:t>Xylem Singapore</w:t>
            </w:r>
          </w:p>
          <w:p>
            <w:pPr>
              <w:jc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b/>
                <w:color w:val="000000"/>
                <w:sz w:val="21"/>
                <w:szCs w:val="21"/>
                <w:shd w:val="clear" w:color="auto" w:fill="auto"/>
                <w:lang w:bidi="ar"/>
              </w:rPr>
              <w:t>参访</w:t>
            </w:r>
          </w:p>
          <w:p>
            <w:pPr>
              <w:jc w:val="center"/>
              <w:rPr>
                <w:rFonts w:hint="eastAsia" w:ascii="仿宋_GB2312" w:hAnsi="仿宋_GB2312" w:eastAsia="仿宋_GB2312" w:cs="仿宋_GB2312"/>
                <w:sz w:val="21"/>
                <w:szCs w:val="21"/>
                <w:shd w:val="clear" w:color="auto" w:fill="auto"/>
              </w:rPr>
            </w:pPr>
          </w:p>
          <w:p>
            <w:pPr>
              <w:jc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新加坡国立大学/南洋理工大学</w:t>
            </w:r>
          </w:p>
          <w:p>
            <w:pPr>
              <w:ind w:firstLine="105" w:firstLineChars="50"/>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参访&amp;人工智能</w:t>
            </w:r>
          </w:p>
          <w:p>
            <w:pPr>
              <w:jc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b/>
                <w:sz w:val="21"/>
                <w:szCs w:val="21"/>
                <w:shd w:val="clear" w:color="auto" w:fill="auto"/>
              </w:rPr>
              <w:t>课程</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lang w:bidi="ar"/>
              </w:rPr>
            </w:pPr>
          </w:p>
          <w:p>
            <w:pPr>
              <w:jc w:val="center"/>
              <w:textAlignment w:val="center"/>
              <w:rPr>
                <w:rFonts w:hint="eastAsia" w:ascii="仿宋_GB2312" w:hAnsi="仿宋_GB2312" w:eastAsia="仿宋_GB2312" w:cs="仿宋_GB2312"/>
                <w:color w:val="000000"/>
                <w:sz w:val="21"/>
                <w:szCs w:val="21"/>
                <w:shd w:val="clear" w:color="auto" w:fill="auto"/>
                <w:lang w:bidi="ar"/>
              </w:rPr>
            </w:pPr>
            <w:r>
              <w:rPr>
                <w:rFonts w:hint="eastAsia" w:ascii="仿宋_GB2312" w:hAnsi="仿宋_GB2312" w:eastAsia="仿宋_GB2312" w:cs="仿宋_GB2312"/>
                <w:color w:val="000000"/>
                <w:sz w:val="21"/>
                <w:szCs w:val="21"/>
                <w:shd w:val="clear" w:color="auto" w:fill="auto"/>
                <w:lang w:bidi="ar"/>
              </w:rPr>
              <w:t>Xylem Singapore</w:t>
            </w:r>
          </w:p>
          <w:p>
            <w:pPr>
              <w:ind w:firstLine="630" w:firstLineChars="300"/>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color w:val="000000"/>
                <w:sz w:val="21"/>
                <w:szCs w:val="21"/>
                <w:shd w:val="clear" w:color="auto" w:fill="auto"/>
              </w:rPr>
              <w:t>企业代表</w:t>
            </w:r>
          </w:p>
          <w:p>
            <w:pPr>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p>
          <w:p>
            <w:pPr>
              <w:jc w:val="center"/>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南洋理工大学及阿里巴巴达摩院联培博士-</w:t>
            </w:r>
            <w:r>
              <w:rPr>
                <w:rFonts w:hint="eastAsia" w:ascii="仿宋_GB2312" w:hAnsi="仿宋_GB2312" w:eastAsia="仿宋_GB2312" w:cs="仿宋_GB2312"/>
                <w:sz w:val="21"/>
                <w:szCs w:val="21"/>
                <w:shd w:val="clear" w:color="auto" w:fill="auto"/>
              </w:rPr>
              <w:t xml:space="preserve"> </w:t>
            </w: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Bosheng Ding</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12"/>
              </w:tabs>
              <w:textAlignment w:val="center"/>
              <w:rPr>
                <w:rFonts w:hint="eastAsia" w:ascii="仿宋_GB2312" w:hAnsi="仿宋_GB2312" w:eastAsia="仿宋_GB2312" w:cs="仿宋_GB2312"/>
                <w:b/>
                <w:bCs/>
                <w:color w:val="000000"/>
                <w:sz w:val="21"/>
                <w:szCs w:val="21"/>
                <w:shd w:val="clear" w:color="auto" w:fill="auto"/>
              </w:rPr>
            </w:pPr>
            <w:r>
              <w:rPr>
                <w:rFonts w:hint="eastAsia" w:ascii="仿宋_GB2312" w:hAnsi="仿宋_GB2312" w:eastAsia="仿宋_GB2312" w:cs="仿宋_GB2312"/>
                <w:b/>
                <w:bCs/>
                <w:color w:val="000000"/>
                <w:sz w:val="21"/>
                <w:szCs w:val="21"/>
                <w:shd w:val="clear" w:color="auto" w:fill="auto"/>
              </w:rPr>
              <w:t>走进名企主题</w:t>
            </w:r>
          </w:p>
          <w:p>
            <w:pPr>
              <w:tabs>
                <w:tab w:val="left" w:pos="312"/>
              </w:tabs>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color w:val="000000"/>
                <w:kern w:val="2"/>
                <w:sz w:val="21"/>
                <w:szCs w:val="21"/>
                <w:shd w:val="clear" w:color="auto" w:fill="auto"/>
              </w:rPr>
              <w:t>全球领先的水技术供应商，该公司目前在全球 150 多个国家开展业务，连续两年荣登道琼斯可持续发展指数榜</w:t>
            </w:r>
          </w:p>
          <w:p>
            <w:pPr>
              <w:pStyle w:val="4"/>
              <w:ind w:firstLine="0" w:firstLineChars="0"/>
              <w:textAlignment w:val="center"/>
              <w:rPr>
                <w:rFonts w:hint="eastAsia" w:ascii="仿宋_GB2312" w:hAnsi="仿宋_GB2312" w:eastAsia="仿宋_GB2312" w:cs="仿宋_GB2312"/>
                <w:b/>
                <w:bCs/>
                <w:color w:val="000000"/>
                <w:kern w:val="0"/>
                <w:sz w:val="21"/>
                <w:szCs w:val="21"/>
                <w:shd w:val="clear" w:color="auto" w:fill="auto"/>
              </w:rPr>
            </w:pPr>
            <w:r>
              <w:rPr>
                <w:rFonts w:hint="eastAsia" w:ascii="仿宋_GB2312" w:hAnsi="仿宋_GB2312" w:eastAsia="仿宋_GB2312" w:cs="仿宋_GB2312"/>
                <w:b/>
                <w:bCs/>
                <w:color w:val="000000"/>
                <w:kern w:val="0"/>
                <w:sz w:val="21"/>
                <w:szCs w:val="21"/>
                <w:shd w:val="clear" w:color="auto" w:fill="auto"/>
              </w:rPr>
              <w:t>学生商业思维训练</w:t>
            </w:r>
          </w:p>
          <w:p>
            <w:pPr>
              <w:tabs>
                <w:tab w:val="left" w:pos="312"/>
              </w:tabs>
              <w:textAlignment w:val="center"/>
              <w:rPr>
                <w:rFonts w:hint="eastAsia" w:ascii="仿宋_GB2312" w:hAnsi="仿宋_GB2312" w:eastAsia="仿宋_GB2312" w:cs="仿宋_GB2312"/>
                <w:b/>
                <w:bCs/>
                <w:color w:val="000000"/>
                <w:sz w:val="21"/>
                <w:szCs w:val="21"/>
                <w:shd w:val="clear" w:color="auto" w:fill="auto"/>
              </w:rPr>
            </w:pPr>
            <w:r>
              <w:rPr>
                <w:rFonts w:hint="eastAsia" w:ascii="仿宋_GB2312" w:hAnsi="仿宋_GB2312" w:eastAsia="仿宋_GB2312" w:cs="仿宋_GB2312"/>
                <w:color w:val="000000"/>
                <w:kern w:val="2"/>
                <w:sz w:val="21"/>
                <w:szCs w:val="21"/>
                <w:shd w:val="clear" w:color="auto" w:fill="auto"/>
              </w:rPr>
              <w:t>生成式AI</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新加坡</w:t>
            </w:r>
          </w:p>
        </w:tc>
      </w:tr>
      <w:tr>
        <w:tblPrEx>
          <w:tblCellMar>
            <w:top w:w="15" w:type="dxa"/>
            <w:left w:w="15" w:type="dxa"/>
            <w:bottom w:w="15" w:type="dxa"/>
            <w:right w:w="15" w:type="dxa"/>
          </w:tblCellMar>
        </w:tblPrEx>
        <w:trPr>
          <w:trHeight w:val="2173"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第8天</w:t>
            </w: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 xml:space="preserve"> </w:t>
            </w: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10" w:firstLineChars="100"/>
              <w:rPr>
                <w:rFonts w:hint="eastAsia" w:ascii="仿宋_GB2312" w:hAnsi="仿宋_GB2312" w:eastAsia="仿宋_GB2312" w:cs="仿宋_GB2312"/>
                <w:sz w:val="21"/>
                <w:szCs w:val="21"/>
                <w:shd w:val="clear" w:color="auto" w:fill="auto"/>
              </w:rPr>
            </w:pPr>
          </w:p>
          <w:p>
            <w:pPr>
              <w:jc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数字经济</w:t>
            </w:r>
          </w:p>
          <w:p>
            <w:pPr>
              <w:ind w:firstLine="527" w:firstLineChars="250"/>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 xml:space="preserve">课程 </w:t>
            </w:r>
          </w:p>
          <w:p>
            <w:pPr>
              <w:rPr>
                <w:rFonts w:hint="eastAsia" w:ascii="仿宋_GB2312" w:hAnsi="仿宋_GB2312" w:eastAsia="仿宋_GB2312" w:cs="仿宋_GB2312"/>
                <w:sz w:val="21"/>
                <w:szCs w:val="21"/>
                <w:shd w:val="clear" w:color="auto" w:fill="auto"/>
              </w:rPr>
            </w:pPr>
          </w:p>
          <w:p>
            <w:pPr>
              <w:jc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新加坡</w:t>
            </w:r>
          </w:p>
          <w:p>
            <w:pPr>
              <w:jc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金融管理局</w:t>
            </w:r>
          </w:p>
          <w:p>
            <w:pPr>
              <w:jc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参访</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SkyLab集团的首席运营官和其子公司SkyLab Services的董事总经理——</w:t>
            </w:r>
            <w:r>
              <w:rPr>
                <w:rFonts w:hint="eastAsia" w:ascii="仿宋_GB2312" w:hAnsi="仿宋_GB2312" w:eastAsia="仿宋_GB2312" w:cs="仿宋_GB2312"/>
                <w:sz w:val="21"/>
                <w:szCs w:val="21"/>
                <w:shd w:val="clear" w:color="auto" w:fill="auto"/>
              </w:rPr>
              <w:t xml:space="preserve"> </w:t>
            </w:r>
            <w:r>
              <w:rPr>
                <w:rFonts w:hint="eastAsia" w:ascii="仿宋_GB2312" w:hAnsi="仿宋_GB2312" w:eastAsia="仿宋_GB2312" w:cs="仿宋_GB2312"/>
                <w:color w:val="000000"/>
                <w:sz w:val="21"/>
                <w:szCs w:val="21"/>
                <w:shd w:val="clear" w:color="auto" w:fill="auto"/>
              </w:rPr>
              <w:t>Stephen Ho</w:t>
            </w:r>
          </w:p>
          <w:p>
            <w:pPr>
              <w:textAlignment w:val="center"/>
              <w:rPr>
                <w:rFonts w:hint="eastAsia" w:ascii="仿宋_GB2312" w:hAnsi="仿宋_GB2312" w:eastAsia="仿宋_GB2312" w:cs="仿宋_GB2312"/>
                <w:color w:val="000000"/>
                <w:sz w:val="21"/>
                <w:szCs w:val="21"/>
                <w:shd w:val="clear" w:color="auto" w:fill="auto"/>
              </w:rPr>
            </w:pP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新加坡金融管理局</w:t>
            </w:r>
          </w:p>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工作人员</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b/>
                <w:bCs/>
                <w:color w:val="000000"/>
                <w:sz w:val="21"/>
                <w:szCs w:val="21"/>
                <w:shd w:val="clear" w:color="auto" w:fill="auto"/>
              </w:rPr>
            </w:pPr>
            <w:r>
              <w:rPr>
                <w:rFonts w:hint="eastAsia" w:ascii="仿宋_GB2312" w:hAnsi="仿宋_GB2312" w:eastAsia="仿宋_GB2312" w:cs="仿宋_GB2312"/>
                <w:b/>
                <w:bCs/>
                <w:color w:val="000000"/>
                <w:sz w:val="21"/>
                <w:szCs w:val="21"/>
                <w:shd w:val="clear" w:color="auto" w:fill="auto"/>
              </w:rPr>
              <w:t>学生商业思维训练</w:t>
            </w:r>
          </w:p>
          <w:p>
            <w:pPr>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t>数字经济中的创新思维</w:t>
            </w:r>
          </w:p>
          <w:p>
            <w:pPr>
              <w:textAlignment w:val="center"/>
              <w:rPr>
                <w:rFonts w:hint="eastAsia" w:ascii="仿宋_GB2312" w:hAnsi="仿宋_GB2312" w:eastAsia="仿宋_GB2312" w:cs="仿宋_GB2312"/>
                <w:color w:val="000000" w:themeColor="text1"/>
                <w:sz w:val="21"/>
                <w:szCs w:val="21"/>
                <w:shd w:val="clear" w:color="auto" w:fill="auto"/>
                <w14:textFill>
                  <w14:solidFill>
                    <w14:schemeClr w14:val="tx1"/>
                  </w14:solidFill>
                </w14:textFill>
              </w:rPr>
            </w:pPr>
          </w:p>
          <w:p>
            <w:pPr>
              <w:tabs>
                <w:tab w:val="left" w:pos="312"/>
              </w:tabs>
              <w:textAlignment w:val="center"/>
              <w:rPr>
                <w:rFonts w:hint="eastAsia" w:ascii="仿宋_GB2312" w:hAnsi="仿宋_GB2312" w:eastAsia="仿宋_GB2312" w:cs="仿宋_GB2312"/>
                <w:b/>
                <w:bCs/>
                <w:color w:val="000000"/>
                <w:sz w:val="21"/>
                <w:szCs w:val="21"/>
                <w:shd w:val="clear" w:color="auto" w:fill="auto"/>
              </w:rPr>
            </w:pPr>
            <w:r>
              <w:rPr>
                <w:rFonts w:hint="eastAsia" w:ascii="仿宋_GB2312" w:hAnsi="仿宋_GB2312" w:eastAsia="仿宋_GB2312" w:cs="仿宋_GB2312"/>
                <w:b/>
                <w:bCs/>
                <w:color w:val="000000"/>
                <w:sz w:val="21"/>
                <w:szCs w:val="21"/>
                <w:shd w:val="clear" w:color="auto" w:fill="auto"/>
              </w:rPr>
              <w:t>走进名企主题</w:t>
            </w:r>
          </w:p>
          <w:p>
            <w:pPr>
              <w:pStyle w:val="4"/>
              <w:widowControl/>
              <w:ind w:firstLine="0" w:firstLineChars="0"/>
              <w:jc w:val="left"/>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受邀参观金融管理局，与工作人员交流，并对该局如何推动新加坡金融业的发展有更深入的了解</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新加坡</w:t>
            </w:r>
          </w:p>
        </w:tc>
      </w:tr>
      <w:tr>
        <w:tblPrEx>
          <w:tblCellMar>
            <w:top w:w="15" w:type="dxa"/>
            <w:left w:w="15" w:type="dxa"/>
            <w:bottom w:w="15" w:type="dxa"/>
            <w:right w:w="15" w:type="dxa"/>
          </w:tblCellMar>
        </w:tblPrEx>
        <w:trPr>
          <w:trHeight w:val="485"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ind w:firstLine="105" w:firstLineChars="50"/>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第9天</w:t>
            </w:r>
          </w:p>
        </w:tc>
        <w:tc>
          <w:tcPr>
            <w:tcW w:w="71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bCs/>
                <w:color w:val="000000"/>
                <w:sz w:val="21"/>
                <w:szCs w:val="21"/>
                <w:shd w:val="clear" w:color="auto" w:fill="auto"/>
              </w:rPr>
            </w:pPr>
            <w:r>
              <w:rPr>
                <w:rFonts w:hint="eastAsia" w:ascii="仿宋_GB2312" w:hAnsi="仿宋_GB2312" w:eastAsia="仿宋_GB2312" w:cs="仿宋_GB2312"/>
                <w:bCs/>
                <w:color w:val="000000"/>
                <w:sz w:val="21"/>
                <w:szCs w:val="21"/>
                <w:shd w:val="clear" w:color="auto" w:fill="auto"/>
              </w:rPr>
              <w:t>环球影城（含门票）</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新加坡</w:t>
            </w:r>
          </w:p>
        </w:tc>
      </w:tr>
      <w:tr>
        <w:tblPrEx>
          <w:tblCellMar>
            <w:top w:w="15" w:type="dxa"/>
            <w:left w:w="15" w:type="dxa"/>
            <w:bottom w:w="15" w:type="dxa"/>
            <w:right w:w="15" w:type="dxa"/>
          </w:tblCellMar>
        </w:tblPrEx>
        <w:trPr>
          <w:trHeight w:val="505"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第10天</w:t>
            </w:r>
          </w:p>
        </w:tc>
        <w:tc>
          <w:tcPr>
            <w:tcW w:w="71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bCs/>
                <w:color w:val="000000"/>
                <w:sz w:val="21"/>
                <w:szCs w:val="21"/>
                <w:shd w:val="clear" w:color="auto" w:fill="auto"/>
              </w:rPr>
            </w:pPr>
            <w:r>
              <w:rPr>
                <w:rFonts w:hint="eastAsia" w:ascii="仿宋_GB2312" w:hAnsi="仿宋_GB2312" w:eastAsia="仿宋_GB2312" w:cs="仿宋_GB2312"/>
                <w:bCs/>
                <w:color w:val="000000"/>
                <w:sz w:val="21"/>
                <w:szCs w:val="21"/>
                <w:shd w:val="clear" w:color="auto" w:fill="auto"/>
              </w:rPr>
              <w:t>游览新加坡-自由活动</w:t>
            </w: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hint="eastAsia" w:ascii="仿宋_GB2312" w:hAnsi="仿宋_GB2312" w:eastAsia="仿宋_GB2312" w:cs="仿宋_GB2312"/>
                <w:color w:val="000000"/>
                <w:sz w:val="21"/>
                <w:szCs w:val="21"/>
                <w:shd w:val="clear" w:color="auto" w:fill="auto"/>
              </w:rPr>
            </w:pPr>
            <w:r>
              <w:rPr>
                <w:rFonts w:hint="eastAsia" w:ascii="仿宋_GB2312" w:hAnsi="仿宋_GB2312" w:eastAsia="仿宋_GB2312" w:cs="仿宋_GB2312"/>
                <w:color w:val="000000"/>
                <w:sz w:val="21"/>
                <w:szCs w:val="21"/>
                <w:shd w:val="clear" w:color="auto" w:fill="auto"/>
              </w:rPr>
              <w:t>新加坡</w:t>
            </w:r>
          </w:p>
        </w:tc>
      </w:tr>
      <w:tr>
        <w:tblPrEx>
          <w:tblCellMar>
            <w:top w:w="15" w:type="dxa"/>
            <w:left w:w="15" w:type="dxa"/>
            <w:bottom w:w="15" w:type="dxa"/>
            <w:right w:w="15" w:type="dxa"/>
          </w:tblCellMar>
        </w:tblPrEx>
        <w:trPr>
          <w:trHeight w:val="4024"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第11天</w:t>
            </w:r>
          </w:p>
          <w:p>
            <w:pPr>
              <w:jc w:val="center"/>
              <w:textAlignment w:val="center"/>
              <w:rPr>
                <w:rFonts w:hint="eastAsia" w:ascii="仿宋_GB2312" w:hAnsi="仿宋_GB2312" w:eastAsia="仿宋_GB2312" w:cs="仿宋_GB2312"/>
                <w:sz w:val="21"/>
                <w:szCs w:val="21"/>
                <w:shd w:val="clear" w:color="auto" w:fill="auto"/>
              </w:rPr>
            </w:pPr>
          </w:p>
        </w:tc>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阿里云新加坡</w:t>
            </w:r>
          </w:p>
          <w:p>
            <w:pPr>
              <w:jc w:val="center"/>
              <w:textAlignment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有限公司</w:t>
            </w:r>
          </w:p>
          <w:p>
            <w:pPr>
              <w:jc w:val="center"/>
              <w:textAlignment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Facebook</w:t>
            </w:r>
          </w:p>
          <w:p>
            <w:pPr>
              <w:jc w:val="center"/>
              <w:textAlignment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 xml:space="preserve">-新加坡 </w:t>
            </w:r>
          </w:p>
          <w:p>
            <w:pPr>
              <w:jc w:val="center"/>
              <w:textAlignment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谷歌-新加坡</w:t>
            </w:r>
          </w:p>
          <w:p>
            <w:pPr>
              <w:jc w:val="center"/>
              <w:textAlignment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b/>
                <w:sz w:val="21"/>
                <w:szCs w:val="21"/>
                <w:shd w:val="clear" w:color="auto" w:fill="auto"/>
              </w:rPr>
              <w:t>Lazada</w:t>
            </w:r>
          </w:p>
          <w:p>
            <w:pPr>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b/>
                <w:sz w:val="21"/>
                <w:szCs w:val="21"/>
                <w:shd w:val="clear" w:color="auto" w:fill="auto"/>
              </w:rPr>
              <w:t>（来赞达）</w:t>
            </w:r>
          </w:p>
          <w:p>
            <w:pPr>
              <w:jc w:val="center"/>
              <w:textAlignment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sz w:val="21"/>
                <w:szCs w:val="21"/>
                <w:shd w:val="clear" w:color="auto" w:fill="auto"/>
              </w:rPr>
              <w:t xml:space="preserve"> (以上四个企业参访其二)</w:t>
            </w:r>
          </w:p>
          <w:p>
            <w:pPr>
              <w:jc w:val="center"/>
              <w:rPr>
                <w:rFonts w:hint="eastAsia" w:ascii="仿宋_GB2312" w:hAnsi="仿宋_GB2312" w:eastAsia="仿宋_GB2312" w:cs="仿宋_GB2312"/>
                <w:b/>
                <w:sz w:val="21"/>
                <w:szCs w:val="21"/>
                <w:shd w:val="clear" w:color="auto" w:fill="auto"/>
              </w:rPr>
            </w:pPr>
            <w:r>
              <w:rPr>
                <w:rFonts w:hint="eastAsia" w:ascii="仿宋_GB2312" w:hAnsi="仿宋_GB2312" w:eastAsia="仿宋_GB2312" w:cs="仿宋_GB2312"/>
                <w:sz w:val="21"/>
                <w:szCs w:val="21"/>
                <w:shd w:val="clear" w:color="auto" w:fill="auto"/>
              </w:rPr>
              <w:t>上海赴外文化交流中心</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sz w:val="21"/>
                <w:szCs w:val="21"/>
                <w:shd w:val="clear" w:color="auto" w:fill="auto"/>
              </w:rPr>
            </w:pPr>
          </w:p>
          <w:p>
            <w:pPr>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各企业代表</w:t>
            </w:r>
          </w:p>
          <w:p>
            <w:pPr>
              <w:jc w:val="both"/>
              <w:textAlignment w:val="center"/>
              <w:rPr>
                <w:rFonts w:hint="eastAsia" w:ascii="仿宋_GB2312" w:hAnsi="仿宋_GB2312" w:eastAsia="仿宋_GB2312" w:cs="仿宋_GB2312"/>
                <w:sz w:val="21"/>
                <w:szCs w:val="21"/>
                <w:shd w:val="clear" w:color="auto" w:fill="auto"/>
              </w:rPr>
            </w:pPr>
          </w:p>
          <w:p>
            <w:pPr>
              <w:ind w:firstLine="630" w:firstLineChars="300"/>
              <w:jc w:val="center"/>
              <w:textAlignment w:val="center"/>
              <w:rPr>
                <w:rFonts w:hint="eastAsia" w:ascii="仿宋_GB2312" w:hAnsi="仿宋_GB2312" w:eastAsia="仿宋_GB2312" w:cs="仿宋_GB2312"/>
                <w:sz w:val="21"/>
                <w:szCs w:val="21"/>
                <w:shd w:val="clear" w:color="auto" w:fill="auto"/>
              </w:rPr>
            </w:pPr>
          </w:p>
          <w:p>
            <w:pPr>
              <w:ind w:firstLine="630" w:firstLineChars="300"/>
              <w:jc w:val="center"/>
              <w:textAlignment w:val="center"/>
              <w:rPr>
                <w:rFonts w:hint="eastAsia" w:ascii="仿宋_GB2312" w:hAnsi="仿宋_GB2312" w:eastAsia="仿宋_GB2312" w:cs="仿宋_GB2312"/>
                <w:sz w:val="21"/>
                <w:szCs w:val="21"/>
                <w:shd w:val="clear" w:color="auto" w:fill="auto"/>
              </w:rPr>
            </w:pPr>
          </w:p>
          <w:p>
            <w:pPr>
              <w:ind w:firstLine="630" w:firstLineChars="300"/>
              <w:jc w:val="center"/>
              <w:textAlignment w:val="center"/>
              <w:rPr>
                <w:rFonts w:hint="eastAsia" w:ascii="仿宋_GB2312" w:hAnsi="仿宋_GB2312" w:eastAsia="仿宋_GB2312" w:cs="仿宋_GB2312"/>
                <w:sz w:val="21"/>
                <w:szCs w:val="21"/>
                <w:shd w:val="clear" w:color="auto" w:fill="auto"/>
              </w:rPr>
            </w:pPr>
          </w:p>
          <w:p>
            <w:pPr>
              <w:ind w:firstLine="630" w:firstLineChars="30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上海赴外</w:t>
            </w:r>
          </w:p>
        </w:tc>
        <w:tc>
          <w:tcPr>
            <w:tcW w:w="325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hint="eastAsia" w:ascii="仿宋_GB2312" w:hAnsi="仿宋_GB2312" w:eastAsia="仿宋_GB2312" w:cs="仿宋_GB2312"/>
                <w:b/>
                <w:bCs/>
                <w:sz w:val="21"/>
                <w:szCs w:val="21"/>
                <w:shd w:val="clear" w:color="auto" w:fill="auto"/>
              </w:rPr>
            </w:pPr>
            <w:r>
              <w:rPr>
                <w:rFonts w:hint="eastAsia" w:ascii="仿宋_GB2312" w:hAnsi="仿宋_GB2312" w:eastAsia="仿宋_GB2312" w:cs="仿宋_GB2312"/>
                <w:b/>
                <w:bCs/>
                <w:sz w:val="21"/>
                <w:szCs w:val="21"/>
                <w:shd w:val="clear" w:color="auto" w:fill="auto"/>
              </w:rPr>
              <w:t>走进名企主题</w:t>
            </w:r>
          </w:p>
          <w:p>
            <w:pPr>
              <w:pStyle w:val="4"/>
              <w:ind w:firstLine="0" w:firstLineChars="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1. 参访跨境电商业务参访阿里云亚太中心，了解阿里云亚太中心专注于推动亚洲云计算发展的工作内容</w:t>
            </w:r>
          </w:p>
          <w:p>
            <w:pPr>
              <w:pStyle w:val="4"/>
              <w:ind w:firstLine="0" w:firstLineChars="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2.参访谷歌在新加坡的办事处</w:t>
            </w:r>
          </w:p>
          <w:p>
            <w:pPr>
              <w:pStyle w:val="4"/>
              <w:ind w:firstLine="0" w:firstLineChars="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3.参访Facebook在新加坡分公司</w:t>
            </w:r>
          </w:p>
          <w:p>
            <w:pPr>
              <w:pStyle w:val="4"/>
              <w:ind w:firstLine="0" w:firstLineChars="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4.参访东南亚地区最大的在线购物网站来赞达</w:t>
            </w:r>
          </w:p>
          <w:p>
            <w:pPr>
              <w:textAlignment w:val="center"/>
              <w:rPr>
                <w:rFonts w:hint="eastAsia" w:ascii="仿宋_GB2312" w:hAnsi="仿宋_GB2312" w:eastAsia="仿宋_GB2312" w:cs="仿宋_GB2312"/>
                <w:b/>
                <w:bCs/>
                <w:sz w:val="21"/>
                <w:szCs w:val="21"/>
                <w:shd w:val="clear" w:color="auto" w:fill="auto"/>
              </w:rPr>
            </w:pPr>
            <w:r>
              <w:rPr>
                <w:rFonts w:hint="eastAsia" w:ascii="仿宋_GB2312" w:hAnsi="仿宋_GB2312" w:eastAsia="仿宋_GB2312" w:cs="仿宋_GB2312"/>
                <w:b/>
                <w:bCs/>
                <w:sz w:val="21"/>
                <w:szCs w:val="21"/>
                <w:shd w:val="clear" w:color="auto" w:fill="auto"/>
              </w:rPr>
              <w:t>商业路演</w:t>
            </w:r>
          </w:p>
          <w:p>
            <w:pPr>
              <w:pStyle w:val="4"/>
              <w:ind w:firstLine="0" w:firstLineChars="0"/>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所有学生按小组商业课题路演</w:t>
            </w:r>
          </w:p>
          <w:p>
            <w:pPr>
              <w:pStyle w:val="4"/>
              <w:ind w:firstLine="0" w:firstLineChars="0"/>
              <w:textAlignment w:val="center"/>
              <w:rPr>
                <w:rFonts w:hint="eastAsia" w:ascii="仿宋_GB2312" w:hAnsi="仿宋_GB2312" w:eastAsia="仿宋_GB2312" w:cs="仿宋_GB2312"/>
                <w:sz w:val="21"/>
                <w:szCs w:val="21"/>
                <w:shd w:val="clear" w:color="auto" w:fill="auto"/>
              </w:rPr>
            </w:pPr>
          </w:p>
        </w:tc>
        <w:tc>
          <w:tcPr>
            <w:tcW w:w="1347" w:type="dxa"/>
            <w:tcBorders>
              <w:top w:val="single" w:color="auto" w:sz="4" w:space="0"/>
              <w:left w:val="single" w:color="auto" w:sz="4" w:space="0"/>
              <w:bottom w:val="single" w:color="auto" w:sz="4" w:space="0"/>
              <w:right w:val="single" w:color="000000" w:sz="12" w:space="0"/>
            </w:tcBorders>
            <w:shd w:val="clear" w:color="auto" w:fill="auto"/>
            <w:vAlign w:val="center"/>
          </w:tcPr>
          <w:p>
            <w:pPr>
              <w:jc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新加坡</w:t>
            </w:r>
          </w:p>
        </w:tc>
      </w:tr>
      <w:tr>
        <w:tblPrEx>
          <w:tblCellMar>
            <w:top w:w="15" w:type="dxa"/>
            <w:left w:w="15" w:type="dxa"/>
            <w:bottom w:w="15" w:type="dxa"/>
            <w:right w:w="15" w:type="dxa"/>
          </w:tblCellMar>
        </w:tblPrEx>
        <w:trPr>
          <w:trHeight w:val="614" w:hRule="atLeast"/>
        </w:trPr>
        <w:tc>
          <w:tcPr>
            <w:tcW w:w="866" w:type="dxa"/>
            <w:tcBorders>
              <w:top w:val="single" w:color="auto" w:sz="4" w:space="0"/>
              <w:left w:val="single" w:color="000000" w:sz="12" w:space="0"/>
              <w:bottom w:val="single" w:color="auto" w:sz="4" w:space="0"/>
              <w:right w:val="single" w:color="auto" w:sz="4" w:space="0"/>
            </w:tcBorders>
            <w:shd w:val="clear" w:color="auto" w:fill="auto"/>
            <w:vAlign w:val="center"/>
          </w:tcPr>
          <w:p>
            <w:pPr>
              <w:jc w:val="center"/>
              <w:textAlignment w:val="cente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第12天</w:t>
            </w:r>
          </w:p>
        </w:tc>
        <w:tc>
          <w:tcPr>
            <w:tcW w:w="8505"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rPr>
                <w:rFonts w:hint="eastAsia" w:ascii="仿宋_GB2312" w:hAnsi="仿宋_GB2312" w:eastAsia="仿宋_GB2312" w:cs="仿宋_GB2312"/>
                <w:sz w:val="21"/>
                <w:szCs w:val="21"/>
                <w:shd w:val="clear" w:color="auto" w:fill="auto"/>
              </w:rPr>
            </w:pPr>
            <w:r>
              <w:rPr>
                <w:rFonts w:hint="eastAsia" w:ascii="仿宋_GB2312" w:hAnsi="仿宋_GB2312" w:eastAsia="仿宋_GB2312" w:cs="仿宋_GB2312"/>
                <w:sz w:val="21"/>
                <w:szCs w:val="21"/>
                <w:shd w:val="clear" w:color="auto" w:fill="auto"/>
              </w:rPr>
              <w:t xml:space="preserve">抵达机场，返回中国 </w:t>
            </w:r>
          </w:p>
        </w:tc>
      </w:tr>
      <w:tr>
        <w:tblPrEx>
          <w:tblCellMar>
            <w:top w:w="15" w:type="dxa"/>
            <w:left w:w="15" w:type="dxa"/>
            <w:bottom w:w="15" w:type="dxa"/>
            <w:right w:w="15" w:type="dxa"/>
          </w:tblCellMar>
        </w:tblPrEx>
        <w:trPr>
          <w:trHeight w:val="1980" w:hRule="atLeast"/>
        </w:trPr>
        <w:tc>
          <w:tcPr>
            <w:tcW w:w="9371" w:type="dxa"/>
            <w:gridSpan w:val="6"/>
            <w:tcBorders>
              <w:top w:val="single" w:color="auto" w:sz="4" w:space="0"/>
              <w:left w:val="single" w:color="000000" w:sz="12" w:space="0"/>
              <w:bottom w:val="single" w:color="auto" w:sz="12" w:space="0"/>
              <w:right w:val="single" w:color="000000" w:sz="12" w:space="0"/>
            </w:tcBorders>
            <w:shd w:val="clear" w:color="auto" w:fill="auto"/>
            <w:vAlign w:val="center"/>
          </w:tcPr>
          <w:p>
            <w:pPr>
              <w:textAlignment w:val="center"/>
              <w:rPr>
                <w:rFonts w:hint="eastAsia" w:ascii="仿宋_GB2312" w:hAnsi="仿宋_GB2312" w:eastAsia="仿宋_GB2312" w:cs="仿宋_GB2312"/>
                <w:bCs/>
                <w:sz w:val="21"/>
                <w:szCs w:val="21"/>
                <w:shd w:val="clear" w:color="auto" w:fill="auto"/>
                <w:lang w:bidi="ar"/>
              </w:rPr>
            </w:pPr>
            <w:r>
              <w:rPr>
                <w:rFonts w:hint="eastAsia" w:ascii="仿宋_GB2312" w:hAnsi="仿宋_GB2312" w:eastAsia="仿宋_GB2312" w:cs="仿宋_GB2312"/>
                <w:bCs/>
                <w:sz w:val="21"/>
                <w:szCs w:val="21"/>
                <w:shd w:val="clear" w:color="auto" w:fill="auto"/>
                <w:lang w:bidi="ar"/>
              </w:rPr>
              <w:t>顺利完成项目后，学生可获得</w:t>
            </w:r>
            <w:r>
              <w:rPr>
                <w:rFonts w:hint="eastAsia" w:ascii="仿宋_GB2312" w:hAnsi="仿宋_GB2312" w:eastAsia="仿宋_GB2312" w:cs="仿宋_GB2312"/>
                <w:b/>
                <w:sz w:val="21"/>
                <w:szCs w:val="21"/>
                <w:shd w:val="clear" w:color="auto" w:fill="auto"/>
                <w:lang w:bidi="ar"/>
              </w:rPr>
              <w:t>上海赴外名校进名企（新加坡）实训证书、阿里巴巴培训结业证书、新加坡项目执行方参与证书、联合国工业发展组织全球创新网络项目智能产业促进中心实践证书，10-20%表现优秀学生可获得联合国工业发展组织全球创新网络项目智能产业促进中心推荐信</w:t>
            </w:r>
            <w:r>
              <w:rPr>
                <w:rFonts w:hint="eastAsia" w:ascii="仿宋_GB2312" w:hAnsi="仿宋_GB2312" w:eastAsia="仿宋_GB2312" w:cs="仿宋_GB2312"/>
                <w:bCs/>
                <w:sz w:val="21"/>
                <w:szCs w:val="21"/>
                <w:shd w:val="clear" w:color="auto" w:fill="auto"/>
                <w:lang w:bidi="ar"/>
              </w:rPr>
              <w:t>。</w:t>
            </w:r>
          </w:p>
          <w:p>
            <w:pPr>
              <w:rPr>
                <w:rFonts w:hint="eastAsia" w:ascii="仿宋_GB2312" w:hAnsi="仿宋_GB2312" w:eastAsia="仿宋_GB2312" w:cs="仿宋_GB2312"/>
                <w:bCs/>
                <w:sz w:val="21"/>
                <w:szCs w:val="21"/>
                <w:shd w:val="clear" w:color="auto" w:fill="auto"/>
                <w:lang w:bidi="ar"/>
              </w:rPr>
            </w:pPr>
          </w:p>
          <w:p>
            <w:pPr>
              <w:rPr>
                <w:rFonts w:hint="eastAsia" w:ascii="仿宋_GB2312" w:hAnsi="仿宋_GB2312" w:eastAsia="仿宋_GB2312" w:cs="仿宋_GB2312"/>
                <w:bCs/>
                <w:sz w:val="21"/>
                <w:szCs w:val="21"/>
                <w:shd w:val="clear" w:color="auto" w:fill="auto"/>
                <w:lang w:bidi="ar"/>
              </w:rPr>
            </w:pPr>
            <w:r>
              <w:rPr>
                <w:rFonts w:hint="eastAsia" w:ascii="仿宋_GB2312" w:hAnsi="仿宋_GB2312" w:eastAsia="仿宋_GB2312" w:cs="仿宋_GB2312"/>
                <w:b/>
                <w:sz w:val="21"/>
                <w:szCs w:val="21"/>
                <w:shd w:val="clear" w:color="auto" w:fill="auto"/>
                <w:lang w:bidi="ar"/>
              </w:rPr>
              <w:t>备注：</w:t>
            </w:r>
            <w:r>
              <w:rPr>
                <w:rFonts w:hint="eastAsia" w:ascii="仿宋_GB2312" w:hAnsi="仿宋_GB2312" w:eastAsia="仿宋_GB2312" w:cs="仿宋_GB2312"/>
                <w:bCs/>
                <w:sz w:val="21"/>
                <w:szCs w:val="21"/>
                <w:shd w:val="clear" w:color="auto" w:fill="auto"/>
                <w:lang w:bidi="ar"/>
              </w:rPr>
              <w:t>如遇特殊情况,企业受临时生产或接待任务等客观因素影响，可能个别参访企业和分享嘉宾会出现调整，以出行前收到的行程为准。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NjcxMGNlYTZlODBlNTRjNWQxODVkODVhOTUzNzYifQ=="/>
  </w:docVars>
  <w:rsids>
    <w:rsidRoot w:val="79263E9E"/>
    <w:rsid w:val="5A2521CD"/>
    <w:rsid w:val="7926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widowControl w:val="0"/>
      <w:ind w:firstLine="420" w:firstLineChars="200"/>
      <w:jc w:val="both"/>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2023-11-02T02:24:00Z</dcterms:created>
  <dc:creator>李小沐</dc:creator>
  <cp:lastModifiedBy>李小沐</cp:lastModifiedBy>
  <dcterms:modified xsi:type="dcterms:W3CDTF">2023-11-02T03:02:51Z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D44937DDBD784FA0995C9AD94EF8CC6F_11</vt:lpwstr>
  </property>
</Properties>
</file>